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0"/>
        <w:rPr>
          <w:rFonts w:hint="default" w:ascii="黑体" w:hAnsi="宋体" w:eastAsia="黑体" w:cs="黑体"/>
          <w:color w:val="000000"/>
          <w:sz w:val="32"/>
          <w:szCs w:val="32"/>
          <w:lang w:val="en-US" w:eastAsia="zh-CN"/>
        </w:rPr>
      </w:pPr>
      <w:r>
        <w:rPr>
          <w:rFonts w:hint="eastAsia" w:ascii="黑体" w:hAnsi="宋体" w:eastAsia="黑体" w:cs="黑体"/>
          <w:color w:val="000000"/>
          <w:sz w:val="32"/>
          <w:szCs w:val="32"/>
        </w:rPr>
        <w:t>附件</w:t>
      </w:r>
      <w:r>
        <w:rPr>
          <w:rFonts w:hint="eastAsia" w:ascii="黑体" w:hAnsi="宋体" w:eastAsia="黑体" w:cs="黑体"/>
          <w:color w:val="000000"/>
          <w:sz w:val="32"/>
          <w:szCs w:val="32"/>
          <w:lang w:val="en-US" w:eastAsia="zh-CN"/>
        </w:rPr>
        <w:t>7-3</w:t>
      </w:r>
      <w:bookmarkStart w:id="0" w:name="_GoBack"/>
      <w:bookmarkEnd w:id="0"/>
    </w:p>
    <w:p>
      <w:pPr>
        <w:spacing w:line="560" w:lineRule="exact"/>
        <w:ind w:left="0"/>
        <w:jc w:val="center"/>
        <w:rPr>
          <w:rFonts w:hint="eastAsia" w:ascii="黑体" w:hAnsi="黑体" w:eastAsia="黑体" w:cs="黑体"/>
          <w:snapToGrid w:val="0"/>
          <w:sz w:val="32"/>
        </w:rPr>
      </w:pPr>
      <w:r>
        <w:rPr>
          <w:rFonts w:hint="eastAsia" w:ascii="方正小标宋简体" w:hAnsi="方正小标宋简体" w:eastAsia="方正小标宋简体" w:cs="方正小标宋简体"/>
          <w:color w:val="000000"/>
          <w:sz w:val="44"/>
          <w:szCs w:val="44"/>
        </w:rPr>
        <w:t>市直部门领导班子年度考核上级评价表</w:t>
      </w:r>
    </w:p>
    <w:tbl>
      <w:tblPr>
        <w:tblStyle w:val="3"/>
        <w:tblW w:w="14173"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01"/>
        <w:gridCol w:w="524"/>
        <w:gridCol w:w="524"/>
        <w:gridCol w:w="524"/>
        <w:gridCol w:w="524"/>
        <w:gridCol w:w="673"/>
        <w:gridCol w:w="673"/>
        <w:gridCol w:w="673"/>
        <w:gridCol w:w="673"/>
        <w:gridCol w:w="673"/>
        <w:gridCol w:w="673"/>
        <w:gridCol w:w="673"/>
        <w:gridCol w:w="673"/>
        <w:gridCol w:w="673"/>
        <w:gridCol w:w="673"/>
        <w:gridCol w:w="673"/>
        <w:gridCol w:w="673"/>
        <w:gridCol w:w="650"/>
        <w:gridCol w:w="650"/>
        <w:gridCol w:w="650"/>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1401" w:type="dxa"/>
            <w:vMerge w:val="restart"/>
            <w:tcMar>
              <w:top w:w="15" w:type="dxa"/>
              <w:left w:w="15" w:type="dxa"/>
              <w:right w:w="15" w:type="dxa"/>
            </w:tcMar>
            <w:vAlign w:val="center"/>
          </w:tcPr>
          <w:p>
            <w:pPr>
              <w:widowControl/>
              <w:spacing w:line="30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评价</w:t>
            </w:r>
            <w:r>
              <w:rPr>
                <w:rFonts w:hint="eastAsia" w:ascii="黑体" w:hAnsi="宋体" w:eastAsia="黑体" w:cs="黑体"/>
                <w:color w:val="000000"/>
                <w:sz w:val="28"/>
                <w:szCs w:val="28"/>
              </w:rPr>
              <w:br w:type="textWrapping"/>
            </w:r>
            <w:r>
              <w:rPr>
                <w:rFonts w:hint="eastAsia" w:ascii="黑体" w:hAnsi="宋体" w:eastAsia="黑体" w:cs="黑体"/>
                <w:color w:val="000000"/>
                <w:sz w:val="28"/>
                <w:szCs w:val="28"/>
              </w:rPr>
              <w:t>标准</w:t>
            </w:r>
          </w:p>
        </w:tc>
        <w:tc>
          <w:tcPr>
            <w:tcW w:w="2096" w:type="dxa"/>
            <w:gridSpan w:val="4"/>
            <w:vMerge w:val="restart"/>
            <w:tcMar>
              <w:top w:w="15" w:type="dxa"/>
              <w:left w:w="15" w:type="dxa"/>
              <w:right w:w="15" w:type="dxa"/>
            </w:tcMar>
            <w:vAlign w:val="center"/>
          </w:tcPr>
          <w:p>
            <w:pPr>
              <w:widowControl/>
              <w:spacing w:line="300" w:lineRule="exact"/>
              <w:ind w:left="0"/>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总体评价</w:t>
            </w:r>
          </w:p>
        </w:tc>
        <w:tc>
          <w:tcPr>
            <w:tcW w:w="2692" w:type="dxa"/>
            <w:gridSpan w:val="4"/>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政治思想建设</w:t>
            </w:r>
          </w:p>
        </w:tc>
        <w:tc>
          <w:tcPr>
            <w:tcW w:w="2692" w:type="dxa"/>
            <w:gridSpan w:val="4"/>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领导水平</w:t>
            </w:r>
          </w:p>
        </w:tc>
        <w:tc>
          <w:tcPr>
            <w:tcW w:w="2692" w:type="dxa"/>
            <w:gridSpan w:val="4"/>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工作实绩</w:t>
            </w:r>
          </w:p>
        </w:tc>
        <w:tc>
          <w:tcPr>
            <w:tcW w:w="2600" w:type="dxa"/>
            <w:gridSpan w:val="4"/>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6"/>
                <w:szCs w:val="26"/>
              </w:rPr>
            </w:pPr>
            <w:r>
              <w:rPr>
                <w:rFonts w:hint="eastAsia" w:ascii="黑体" w:hAnsi="宋体" w:eastAsia="黑体" w:cs="黑体"/>
                <w:color w:val="000000"/>
                <w:sz w:val="26"/>
                <w:szCs w:val="26"/>
              </w:rPr>
              <w:t>反腐倡廉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21" w:hRule="atLeast"/>
        </w:trPr>
        <w:tc>
          <w:tcPr>
            <w:tcW w:w="1401" w:type="dxa"/>
            <w:vMerge w:val="continue"/>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2096" w:type="dxa"/>
            <w:gridSpan w:val="4"/>
            <w:vMerge w:val="continue"/>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2692" w:type="dxa"/>
            <w:gridSpan w:val="4"/>
            <w:tcMar>
              <w:top w:w="15" w:type="dxa"/>
              <w:left w:w="15" w:type="dxa"/>
              <w:right w:w="15" w:type="dxa"/>
            </w:tcMar>
            <w:vAlign w:val="top"/>
          </w:tcPr>
          <w:p>
            <w:pPr>
              <w:widowControl/>
              <w:spacing w:line="200" w:lineRule="exact"/>
              <w:ind w:left="0"/>
              <w:textAlignment w:val="center"/>
              <w:rPr>
                <w:rFonts w:ascii="仿宋" w:hAnsi="仿宋" w:eastAsia="仿宋" w:cs="仿宋"/>
                <w:color w:val="000000"/>
                <w:sz w:val="16"/>
                <w:szCs w:val="16"/>
              </w:rPr>
            </w:pPr>
            <w:r>
              <w:rPr>
                <w:rFonts w:hint="eastAsia" w:ascii="仿宋" w:hAnsi="仿宋" w:eastAsia="仿宋" w:cs="仿宋"/>
                <w:color w:val="000000"/>
                <w:sz w:val="16"/>
                <w:szCs w:val="16"/>
              </w:rPr>
              <w:t>坚决拥护并认真贯彻执行党的路线方针政策，具有高度的政治鉴别力和敏锐性，能够始终坚持正确的政治立场；能够深入贯彻习近平新时代中国特色社会主义思想和党的十九大</w:t>
            </w:r>
            <w:r>
              <w:rPr>
                <w:rFonts w:hint="eastAsia" w:ascii="仿宋" w:hAnsi="仿宋" w:eastAsia="仿宋" w:cs="仿宋"/>
                <w:color w:val="000000"/>
                <w:sz w:val="16"/>
                <w:szCs w:val="16"/>
                <w:lang w:val="en-US" w:eastAsia="zh-CN"/>
              </w:rPr>
              <w:t>及</w:t>
            </w:r>
            <w:r>
              <w:rPr>
                <w:rFonts w:hint="eastAsia" w:ascii="仿宋" w:hAnsi="仿宋" w:eastAsia="仿宋" w:cs="仿宋"/>
                <w:color w:val="000000"/>
                <w:sz w:val="16"/>
                <w:szCs w:val="16"/>
              </w:rPr>
              <w:t>十九届二中、三中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rPr>
              <w:t>四中</w:t>
            </w:r>
            <w:r>
              <w:rPr>
                <w:rFonts w:hint="eastAsia" w:ascii="仿宋" w:hAnsi="仿宋" w:eastAsia="仿宋" w:cs="仿宋"/>
                <w:color w:val="000000"/>
                <w:sz w:val="16"/>
                <w:szCs w:val="16"/>
                <w:lang w:eastAsia="zh-CN"/>
              </w:rPr>
              <w:t>、</w:t>
            </w:r>
            <w:r>
              <w:rPr>
                <w:rFonts w:hint="eastAsia" w:ascii="仿宋" w:hAnsi="仿宋" w:eastAsia="仿宋" w:cs="仿宋"/>
                <w:color w:val="000000"/>
                <w:sz w:val="16"/>
                <w:szCs w:val="16"/>
                <w:lang w:val="en-US" w:eastAsia="zh-CN"/>
              </w:rPr>
              <w:t>五中</w:t>
            </w:r>
            <w:r>
              <w:rPr>
                <w:rFonts w:hint="eastAsia" w:ascii="仿宋" w:hAnsi="仿宋" w:eastAsia="仿宋" w:cs="仿宋"/>
                <w:color w:val="000000"/>
                <w:sz w:val="16"/>
                <w:szCs w:val="16"/>
              </w:rPr>
              <w:t>全会精神，全面落实习近平总书记对甘肃重要讲话和指示精神；“三重一大”事项都经过班子集体讨论，班子成员团结合作，自觉维护并坚决执行集体决议，班子凝聚力和战斗力强。</w:t>
            </w:r>
          </w:p>
        </w:tc>
        <w:tc>
          <w:tcPr>
            <w:tcW w:w="2692"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严格按照法定的职责权限和程序履行职责，能够熟练运用与工作相关的法律法规和制度办法，法制意识强；主动加强调查研究，民主决策、科学决策、依法决策水平较高；对于突发事件能够冷静应对并迅速作出决策；有强烈的进取精神，能够结合实际提出开创性的工作方法和思路，创新实效突出；严格遵照《干部任用条例》规定的原则、条件、程序和纪律选拔任用干部。</w:t>
            </w:r>
          </w:p>
        </w:tc>
        <w:tc>
          <w:tcPr>
            <w:tcW w:w="2692" w:type="dxa"/>
            <w:gridSpan w:val="4"/>
            <w:tcMar>
              <w:top w:w="15" w:type="dxa"/>
              <w:left w:w="15" w:type="dxa"/>
              <w:right w:w="15" w:type="dxa"/>
            </w:tcMar>
            <w:vAlign w:val="top"/>
          </w:tcPr>
          <w:p>
            <w:pPr>
              <w:widowControl/>
              <w:spacing w:line="180" w:lineRule="exact"/>
              <w:ind w:left="0"/>
              <w:textAlignment w:val="center"/>
              <w:rPr>
                <w:rFonts w:hint="eastAsia" w:ascii="仿宋" w:hAnsi="仿宋" w:eastAsia="仿宋" w:cs="仿宋"/>
                <w:color w:val="000000"/>
                <w:sz w:val="15"/>
                <w:szCs w:val="15"/>
              </w:rPr>
            </w:pPr>
            <w:r>
              <w:rPr>
                <w:rFonts w:hint="eastAsia" w:ascii="仿宋" w:hAnsi="仿宋" w:eastAsia="仿宋" w:cs="仿宋"/>
                <w:color w:val="000000"/>
                <w:sz w:val="15"/>
                <w:szCs w:val="15"/>
              </w:rPr>
              <w:t>贯彻落实党中央决策部署和省委省政府工作安排以及市委市政府中心工作，特别是落实市委八届十次</w:t>
            </w:r>
            <w:r>
              <w:rPr>
                <w:rFonts w:hint="eastAsia" w:ascii="仿宋" w:hAnsi="仿宋" w:eastAsia="仿宋" w:cs="仿宋"/>
                <w:color w:val="000000"/>
                <w:sz w:val="15"/>
                <w:szCs w:val="15"/>
                <w:lang w:eastAsia="zh-CN"/>
              </w:rPr>
              <w:t>、</w:t>
            </w:r>
            <w:r>
              <w:rPr>
                <w:rFonts w:hint="eastAsia" w:ascii="仿宋" w:hAnsi="仿宋" w:eastAsia="仿宋" w:cs="仿宋"/>
                <w:color w:val="000000"/>
                <w:sz w:val="15"/>
                <w:szCs w:val="15"/>
                <w:lang w:val="en-US" w:eastAsia="zh-CN"/>
              </w:rPr>
              <w:t>十一次、十二次</w:t>
            </w:r>
            <w:r>
              <w:rPr>
                <w:rFonts w:hint="eastAsia" w:ascii="仿宋" w:hAnsi="仿宋" w:eastAsia="仿宋" w:cs="仿宋"/>
                <w:color w:val="000000"/>
                <w:sz w:val="15"/>
                <w:szCs w:val="15"/>
              </w:rPr>
              <w:t>全会精神，推动全市经济社会高质量发展的实际成效。综合部门重点考量围绕中心、服务大局，积极履行部门职能、完成年度任务，强化统筹协调，深入调查研究，准确研判形势，积极建言献策，服务全市经济社会发展等方面的成效；经济工作部门重点考量推动经济高质量发展、落实十大生态产业工作责任、打赢打好防范化解重大风险、精准脱贫、污染防治三大攻坚战，完成年度任务，推进经济建设领域各项工作等方面的成效；社会发展部门重点考量解决好民生领域突出问题，提高保障和改善民生水平，加强和创新社会治理，平安金昌建设和完成年度任务等方面的成效；其他部门重点考量围绕全市经济社会发展大局，履行职责职能、完成年度任务的成效。</w:t>
            </w:r>
          </w:p>
        </w:tc>
        <w:tc>
          <w:tcPr>
            <w:tcW w:w="2600" w:type="dxa"/>
            <w:gridSpan w:val="4"/>
            <w:tcMar>
              <w:top w:w="15" w:type="dxa"/>
              <w:left w:w="15" w:type="dxa"/>
              <w:right w:w="15" w:type="dxa"/>
            </w:tcMar>
            <w:vAlign w:val="top"/>
          </w:tcPr>
          <w:p>
            <w:pPr>
              <w:widowControl/>
              <w:spacing w:line="200" w:lineRule="exact"/>
              <w:ind w:left="0"/>
              <w:textAlignment w:val="center"/>
              <w:rPr>
                <w:rFonts w:hint="eastAsia" w:ascii="仿宋" w:hAnsi="仿宋" w:eastAsia="仿宋" w:cs="仿宋"/>
                <w:color w:val="000000"/>
                <w:sz w:val="16"/>
                <w:szCs w:val="16"/>
              </w:rPr>
            </w:pPr>
            <w:r>
              <w:rPr>
                <w:rFonts w:hint="eastAsia" w:ascii="仿宋" w:hAnsi="仿宋" w:eastAsia="仿宋" w:cs="仿宋"/>
                <w:color w:val="000000"/>
                <w:sz w:val="16"/>
                <w:szCs w:val="16"/>
              </w:rPr>
              <w:t>能够严格落实中央八项规定及其实施细则精神，坚决反对“四风”，办事规范，主动接受干部群众监督；能够严格按照要求对党风廉政建设情况进行监督检查，经常性开展反腐倡廉宣传教育，积极构建惩治和预防腐败体系，干部职工廉政意识强，年内未发生违纪违法案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9" w:hRule="atLeast"/>
        </w:trPr>
        <w:tc>
          <w:tcPr>
            <w:tcW w:w="1401" w:type="dxa"/>
            <w:tcMar>
              <w:top w:w="15" w:type="dxa"/>
              <w:left w:w="15" w:type="dxa"/>
              <w:right w:w="15" w:type="dxa"/>
            </w:tcMar>
            <w:vAlign w:val="top"/>
          </w:tcPr>
          <w:p>
            <w:pPr>
              <w:widowControl/>
              <w:spacing w:line="260" w:lineRule="exact"/>
              <w:ind w:left="0"/>
              <w:jc w:val="left"/>
              <w:textAlignment w:val="top"/>
              <w:rPr>
                <w:rFonts w:hint="eastAsia" w:ascii="黑体" w:hAnsi="宋体" w:eastAsia="黑体" w:cs="黑体"/>
                <w:color w:val="000000"/>
                <w:sz w:val="22"/>
                <w:szCs w:val="22"/>
              </w:rPr>
            </w:pPr>
            <w:r>
              <w:rPr>
                <w:rFonts w:ascii="Times New Roman" w:hAnsi="Times New Roman" w:eastAsia="宋体" w:cs="Times New Roman"/>
                <w:sz w:val="22"/>
                <w:lang w:val="en-US" w:eastAsia="zh-CN" w:bidi="ar-SA"/>
              </w:rPr>
              <w:pict>
                <v:line id="直线 48" o:spid="_x0000_s1026" o:spt="20" style="position:absolute;left:0pt;margin-left:1.05pt;margin-top:-0.05pt;height:54pt;width:69.75pt;z-index:251658240;mso-width-relative:page;mso-height-relative:page;" fillcolor="#FFFFFF" filled="f" o:preferrelative="t" stroked="t" coordsize="21600,21600">
                  <v:path arrowok="t"/>
                  <v:fill on="f" color2="#FFFFFF" focussize="0,0"/>
                  <v:stroke color="#000000" color2="#FFFFFF" miterlimit="2"/>
                  <v:imagedata gain="65536f" blacklevel="0f" gamma="0" o:title=""/>
                  <o:lock v:ext="edit" position="f" selection="f" grouping="f" rotation="f" cropping="f" text="f" aspectratio="f"/>
                </v:line>
              </w:pict>
            </w:r>
            <w:r>
              <w:rPr>
                <w:rFonts w:hint="eastAsia" w:ascii="黑体" w:hAnsi="宋体" w:eastAsia="黑体" w:cs="黑体"/>
                <w:color w:val="000000"/>
                <w:sz w:val="22"/>
                <w:szCs w:val="22"/>
              </w:rPr>
              <w:t xml:space="preserve">        评价</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rPr>
              <w:t xml:space="preserve">        意见</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领导</w:t>
            </w:r>
            <w:r>
              <w:rPr>
                <w:rFonts w:hint="eastAsia" w:ascii="黑体" w:hAnsi="宋体" w:eastAsia="黑体" w:cs="黑体"/>
                <w:color w:val="000000"/>
                <w:sz w:val="22"/>
                <w:szCs w:val="22"/>
              </w:rPr>
              <w:br w:type="textWrapping"/>
            </w:r>
            <w:r>
              <w:rPr>
                <w:rFonts w:hint="eastAsia" w:ascii="黑体" w:hAnsi="宋体" w:eastAsia="黑体" w:cs="黑体"/>
                <w:color w:val="000000"/>
                <w:sz w:val="22"/>
                <w:szCs w:val="22"/>
                <w:lang w:val="en-US" w:eastAsia="zh-CN"/>
              </w:rPr>
              <w:t xml:space="preserve"> </w:t>
            </w:r>
            <w:r>
              <w:rPr>
                <w:rFonts w:hint="eastAsia" w:ascii="黑体" w:hAnsi="宋体" w:eastAsia="黑体" w:cs="黑体"/>
                <w:color w:val="000000"/>
                <w:sz w:val="22"/>
                <w:szCs w:val="22"/>
              </w:rPr>
              <w:t>班子</w:t>
            </w:r>
          </w:p>
        </w:tc>
        <w:tc>
          <w:tcPr>
            <w:tcW w:w="524"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524"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524"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524"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73"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c>
          <w:tcPr>
            <w:tcW w:w="650"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A</w:t>
            </w:r>
          </w:p>
        </w:tc>
        <w:tc>
          <w:tcPr>
            <w:tcW w:w="650"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B</w:t>
            </w:r>
          </w:p>
        </w:tc>
        <w:tc>
          <w:tcPr>
            <w:tcW w:w="650"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C</w:t>
            </w:r>
          </w:p>
        </w:tc>
        <w:tc>
          <w:tcPr>
            <w:tcW w:w="650"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trPr>
        <w:tc>
          <w:tcPr>
            <w:tcW w:w="1401" w:type="dxa"/>
            <w:tcMar>
              <w:top w:w="15" w:type="dxa"/>
              <w:left w:w="15" w:type="dxa"/>
              <w:right w:w="15" w:type="dxa"/>
            </w:tcMar>
            <w:vAlign w:val="center"/>
          </w:tcPr>
          <w:p>
            <w:pPr>
              <w:widowControl/>
              <w:spacing w:line="240" w:lineRule="exact"/>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left"/>
              <w:rPr>
                <w:rFonts w:hint="eastAsia" w:ascii="仿宋" w:hAnsi="仿宋" w:eastAsia="仿宋" w:cs="仿宋"/>
                <w:color w:val="000000"/>
                <w:sz w:val="18"/>
                <w:szCs w:val="18"/>
                <w:u w:val="single"/>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trPr>
        <w:tc>
          <w:tcPr>
            <w:tcW w:w="1401" w:type="dxa"/>
            <w:tcMar>
              <w:top w:w="15" w:type="dxa"/>
              <w:left w:w="15" w:type="dxa"/>
              <w:right w:w="15" w:type="dxa"/>
            </w:tcMar>
            <w:vAlign w:val="center"/>
          </w:tcPr>
          <w:p>
            <w:pPr>
              <w:widowControl/>
              <w:spacing w:line="240" w:lineRule="exact"/>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524" w:type="dxa"/>
            <w:tcMar>
              <w:top w:w="15" w:type="dxa"/>
              <w:left w:w="15" w:type="dxa"/>
              <w:right w:w="15" w:type="dxa"/>
            </w:tcMar>
            <w:vAlign w:val="center"/>
          </w:tcPr>
          <w:p>
            <w:pPr>
              <w:widowControl/>
              <w:spacing w:line="240" w:lineRule="exact"/>
              <w:jc w:val="center"/>
              <w:rPr>
                <w:rFonts w:hint="eastAsia" w:ascii="黑体" w:hAnsi="宋体" w:eastAsia="黑体" w:cs="黑体"/>
                <w:color w:val="000000"/>
                <w:sz w:val="28"/>
                <w:szCs w:val="28"/>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center"/>
              <w:rPr>
                <w:rFonts w:hint="eastAsia" w:ascii="楷体" w:hAnsi="楷体" w:eastAsia="楷体" w:cs="楷体"/>
                <w:b/>
                <w:color w:val="000000"/>
                <w:sz w:val="24"/>
                <w:szCs w:val="24"/>
              </w:rPr>
            </w:pPr>
          </w:p>
        </w:tc>
        <w:tc>
          <w:tcPr>
            <w:tcW w:w="673" w:type="dxa"/>
            <w:tcMar>
              <w:top w:w="15" w:type="dxa"/>
              <w:left w:w="15" w:type="dxa"/>
              <w:right w:w="15" w:type="dxa"/>
            </w:tcMar>
            <w:vAlign w:val="center"/>
          </w:tcPr>
          <w:p>
            <w:pPr>
              <w:widowControl/>
              <w:spacing w:line="240" w:lineRule="exact"/>
              <w:jc w:val="left"/>
              <w:rPr>
                <w:rFonts w:hint="eastAsia" w:ascii="仿宋" w:hAnsi="仿宋" w:eastAsia="仿宋" w:cs="仿宋"/>
                <w:color w:val="000000"/>
                <w:sz w:val="18"/>
                <w:szCs w:val="18"/>
                <w:u w:val="single"/>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73"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c>
          <w:tcPr>
            <w:tcW w:w="650" w:type="dxa"/>
            <w:tcMar>
              <w:top w:w="15" w:type="dxa"/>
              <w:left w:w="15" w:type="dxa"/>
              <w:right w:w="15" w:type="dxa"/>
            </w:tcMar>
            <w:vAlign w:val="center"/>
          </w:tcPr>
          <w:p>
            <w:pPr>
              <w:widowControl/>
              <w:spacing w:line="240" w:lineRule="exact"/>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5" w:hRule="atLeast"/>
        </w:trPr>
        <w:tc>
          <w:tcPr>
            <w:tcW w:w="1401" w:type="dxa"/>
            <w:tcMar>
              <w:top w:w="15" w:type="dxa"/>
              <w:left w:w="15" w:type="dxa"/>
              <w:right w:w="15" w:type="dxa"/>
            </w:tcMar>
            <w:vAlign w:val="center"/>
          </w:tcPr>
          <w:p>
            <w:pPr>
              <w:widowControl/>
              <w:spacing w:line="240" w:lineRule="exact"/>
              <w:jc w:val="center"/>
              <w:textAlignment w:val="center"/>
              <w:rPr>
                <w:rFonts w:hint="eastAsia" w:ascii="黑体" w:hAnsi="宋体" w:eastAsia="黑体" w:cs="黑体"/>
                <w:color w:val="000000"/>
                <w:sz w:val="28"/>
                <w:szCs w:val="28"/>
              </w:rPr>
            </w:pPr>
            <w:r>
              <w:rPr>
                <w:rFonts w:hint="eastAsia" w:ascii="黑体" w:hAnsi="宋体" w:eastAsia="黑体" w:cs="黑体"/>
                <w:color w:val="000000"/>
                <w:sz w:val="28"/>
                <w:szCs w:val="28"/>
              </w:rPr>
              <w:t>备注</w:t>
            </w:r>
          </w:p>
        </w:tc>
        <w:tc>
          <w:tcPr>
            <w:tcW w:w="12772" w:type="dxa"/>
            <w:gridSpan w:val="20"/>
            <w:tcMar>
              <w:top w:w="15" w:type="dxa"/>
              <w:left w:w="15" w:type="dxa"/>
              <w:right w:w="15" w:type="dxa"/>
            </w:tcMar>
            <w:vAlign w:val="center"/>
          </w:tcPr>
          <w:p>
            <w:pPr>
              <w:widowControl/>
              <w:spacing w:line="240" w:lineRule="exact"/>
              <w:jc w:val="left"/>
              <w:textAlignment w:val="center"/>
              <w:rPr>
                <w:rFonts w:ascii="楷体_GB2312" w:hAnsi="宋体" w:eastAsia="楷体_GB2312" w:cs="楷体_GB2312"/>
                <w:color w:val="000000"/>
                <w:sz w:val="26"/>
                <w:szCs w:val="26"/>
              </w:rPr>
            </w:pPr>
            <w:r>
              <w:rPr>
                <w:rFonts w:hint="eastAsia" w:ascii="楷体_GB2312" w:hAnsi="宋体" w:eastAsia="楷体_GB2312" w:cs="楷体_GB2312"/>
                <w:color w:val="000000"/>
                <w:spacing w:val="-11"/>
                <w:sz w:val="22"/>
                <w:szCs w:val="22"/>
              </w:rPr>
              <w:t>1.</w:t>
            </w:r>
            <w:r>
              <w:rPr>
                <w:rFonts w:hint="eastAsia" w:ascii="楷体_GB2312" w:hAnsi="宋体" w:eastAsia="楷体_GB2312" w:cs="楷体_GB2312"/>
                <w:color w:val="000000"/>
                <w:sz w:val="22"/>
                <w:szCs w:val="22"/>
              </w:rPr>
              <w:t>市直部门（单位）班子由市委、市人大常委会、市政府、市政协主要领导以及市委常委、市政府副市长进行评价；</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2.评价意见按优劣程度，依次界定为“A、B、C、D”四个档次；</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3.请在相应档次的方框内划“√”，只能选择一个档次，多划无效，不划视为弃权；</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4.总体评价中，评价为A等次的领导班子，不超过评价对象的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；评价为C和D等次的领导班子，不少于评价对象的</w:t>
            </w:r>
            <w:r>
              <w:rPr>
                <w:rFonts w:hint="eastAsia" w:ascii="楷体_GB2312" w:hAnsi="宋体" w:eastAsia="楷体_GB2312" w:cs="楷体_GB2312"/>
                <w:color w:val="000000"/>
                <w:sz w:val="22"/>
                <w:szCs w:val="22"/>
                <w:lang w:val="en-US" w:eastAsia="zh-CN"/>
              </w:rPr>
              <w:t>20%</w:t>
            </w:r>
            <w:r>
              <w:rPr>
                <w:rFonts w:hint="eastAsia" w:ascii="楷体_GB2312" w:hAnsi="宋体" w:eastAsia="楷体_GB2312" w:cs="楷体_GB2312"/>
                <w:color w:val="000000"/>
                <w:sz w:val="22"/>
                <w:szCs w:val="22"/>
              </w:rPr>
              <w:t>。不按规定数量评价的视为无效票；</w:t>
            </w:r>
            <w:r>
              <w:rPr>
                <w:rFonts w:hint="eastAsia" w:ascii="楷体_GB2312" w:hAnsi="宋体" w:eastAsia="楷体_GB2312" w:cs="楷体_GB2312"/>
                <w:color w:val="000000"/>
                <w:sz w:val="22"/>
                <w:szCs w:val="22"/>
              </w:rPr>
              <w:br w:type="textWrapping"/>
            </w:r>
            <w:r>
              <w:rPr>
                <w:rFonts w:hint="eastAsia" w:ascii="楷体_GB2312" w:hAnsi="宋体" w:eastAsia="楷体_GB2312" w:cs="楷体_GB2312"/>
                <w:color w:val="000000"/>
                <w:sz w:val="22"/>
                <w:szCs w:val="22"/>
              </w:rPr>
              <w:t>5.评价得分按“总体评价”栏的得票情况计算，</w:t>
            </w:r>
            <w:r>
              <w:rPr>
                <w:rFonts w:hint="eastAsia" w:ascii="楷体_GB2312" w:hAnsi="宋体" w:eastAsia="楷体_GB2312" w:cs="楷体_GB2312"/>
                <w:color w:val="000000"/>
                <w:spacing w:val="-6"/>
                <w:sz w:val="22"/>
                <w:szCs w:val="22"/>
              </w:rPr>
              <w:t>公式为：（“A”票数×1.0＋“B”票数×</w:t>
            </w:r>
            <w:r>
              <w:rPr>
                <w:rFonts w:hint="eastAsia" w:ascii="楷体_GB2312" w:hAnsi="宋体" w:eastAsia="楷体_GB2312" w:cs="楷体_GB2312"/>
                <w:color w:val="000000"/>
                <w:spacing w:val="-6"/>
                <w:sz w:val="22"/>
                <w:szCs w:val="22"/>
                <w:lang w:val="en-US" w:eastAsia="zh-CN"/>
              </w:rPr>
              <w:t>0.9</w:t>
            </w:r>
            <w:r>
              <w:rPr>
                <w:rFonts w:hint="eastAsia" w:ascii="楷体_GB2312" w:hAnsi="宋体" w:eastAsia="楷体_GB2312" w:cs="楷体_GB2312"/>
                <w:color w:val="000000"/>
                <w:spacing w:val="-6"/>
                <w:sz w:val="22"/>
                <w:szCs w:val="22"/>
              </w:rPr>
              <w:t>＋“C”票数×</w:t>
            </w:r>
            <w:r>
              <w:rPr>
                <w:rFonts w:hint="eastAsia" w:ascii="楷体_GB2312" w:hAnsi="宋体" w:eastAsia="楷体_GB2312" w:cs="楷体_GB2312"/>
                <w:color w:val="000000"/>
                <w:spacing w:val="-6"/>
                <w:sz w:val="22"/>
                <w:szCs w:val="22"/>
                <w:lang w:val="en-US" w:eastAsia="zh-CN"/>
              </w:rPr>
              <w:t>0.75</w:t>
            </w:r>
            <w:r>
              <w:rPr>
                <w:rFonts w:hint="eastAsia" w:ascii="楷体_GB2312" w:hAnsi="宋体" w:eastAsia="楷体_GB2312" w:cs="楷体_GB2312"/>
                <w:color w:val="000000"/>
                <w:spacing w:val="-6"/>
                <w:sz w:val="22"/>
                <w:szCs w:val="22"/>
              </w:rPr>
              <w:t>＋“D”票数×</w:t>
            </w:r>
            <w:r>
              <w:rPr>
                <w:rFonts w:hint="eastAsia" w:ascii="楷体_GB2312" w:hAnsi="宋体" w:eastAsia="楷体_GB2312" w:cs="楷体_GB2312"/>
                <w:color w:val="000000"/>
                <w:spacing w:val="-6"/>
                <w:sz w:val="22"/>
                <w:szCs w:val="22"/>
                <w:lang w:val="en-US" w:eastAsia="zh-CN"/>
              </w:rPr>
              <w:t>0.5</w:t>
            </w:r>
            <w:r>
              <w:rPr>
                <w:rFonts w:hint="eastAsia" w:ascii="楷体_GB2312" w:hAnsi="宋体" w:eastAsia="楷体_GB2312" w:cs="楷体_GB2312"/>
                <w:color w:val="000000"/>
                <w:spacing w:val="-6"/>
                <w:sz w:val="22"/>
                <w:szCs w:val="22"/>
              </w:rPr>
              <w:t>）÷测评人数×100。</w:t>
            </w:r>
          </w:p>
        </w:tc>
      </w:tr>
    </w:tbl>
    <w:p>
      <w:pPr>
        <w:widowControl w:val="0"/>
        <w:wordWrap/>
        <w:adjustRightInd/>
        <w:snapToGrid/>
        <w:spacing w:before="0" w:after="0" w:line="40" w:lineRule="exact"/>
        <w:ind w:left="0" w:leftChars="0" w:right="0" w:firstLine="0" w:firstLineChars="0"/>
        <w:jc w:val="both"/>
        <w:textAlignment w:val="bottom"/>
        <w:outlineLvl w:val="9"/>
      </w:pPr>
    </w:p>
    <w:sectPr>
      <w:pgSz w:w="16781" w:h="11849" w:orient="landscape"/>
      <w:pgMar w:top="1417" w:right="1417" w:bottom="1417" w:left="1417" w:header="720" w:footer="720" w:gutter="0"/>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7AD59D4"/>
    <w:rsid w:val="4C09400D"/>
    <w:rsid w:val="56CF2378"/>
    <w:rsid w:val="5D631B3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365" w:lineRule="atLeast"/>
      <w:ind w:left="1"/>
      <w:jc w:val="both"/>
      <w:textAlignment w:val="bottom"/>
    </w:pPr>
    <w:rPr>
      <w:rFonts w:ascii="Times New Roman" w:hAnsi="Times New Roman" w:eastAsia="宋体" w:cs="Times New Roman"/>
      <w:lang w:val="en-US" w:eastAsia="zh-CN" w:bidi="ar-SA"/>
    </w:rPr>
  </w:style>
  <w:style w:type="character" w:default="1" w:styleId="4">
    <w:name w:val="Default Paragraph Font"/>
    <w:unhideWhenUsed/>
    <w:uiPriority w:val="0"/>
  </w:style>
  <w:style w:type="table" w:default="1" w:styleId="3">
    <w:name w:val="Normal Table"/>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spacing w:line="240" w:lineRule="atLeast"/>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2020-10-26T16:03:00Z</dcterms:created>
  <dc:creator>Administrator</dc:creator>
  <cp:lastModifiedBy>Administrator</cp:lastModifiedBy>
  <dcterms:modified xsi:type="dcterms:W3CDTF">2021-01-15T15:59:57Z</dcterms:modified>
  <dc:title>金昌市市管领导班子和领导干部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