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left="0"/>
        <w:rPr>
          <w:rFonts w:hint="default" w:ascii="黑体" w:hAnsi="宋体" w:eastAsia="黑体" w:cs="黑体"/>
          <w:color w:val="000000"/>
          <w:sz w:val="32"/>
          <w:szCs w:val="32"/>
          <w:lang w:val="en-US" w:eastAsia="zh-CN"/>
        </w:rPr>
      </w:pPr>
      <w:r>
        <w:rPr>
          <w:rFonts w:hint="eastAsia" w:ascii="黑体" w:hAnsi="宋体" w:eastAsia="黑体" w:cs="黑体"/>
          <w:color w:val="000000"/>
          <w:sz w:val="32"/>
          <w:szCs w:val="32"/>
        </w:rPr>
        <w:t>附件</w:t>
      </w:r>
      <w:r>
        <w:rPr>
          <w:rFonts w:hint="eastAsia" w:ascii="黑体" w:hAnsi="宋体" w:eastAsia="黑体" w:cs="黑体"/>
          <w:color w:val="000000"/>
          <w:sz w:val="32"/>
          <w:szCs w:val="32"/>
          <w:lang w:val="en-US" w:eastAsia="zh-CN"/>
        </w:rPr>
        <w:t>5-6</w:t>
      </w:r>
      <w:bookmarkStart w:id="0" w:name="_GoBack"/>
      <w:bookmarkEnd w:id="0"/>
    </w:p>
    <w:p>
      <w:pPr>
        <w:spacing w:line="560" w:lineRule="exact"/>
        <w:ind w:left="0"/>
        <w:jc w:val="center"/>
        <w:rPr>
          <w:rFonts w:hint="eastAsia" w:ascii="黑体" w:hAnsi="黑体" w:eastAsia="黑体" w:cs="黑体"/>
          <w:snapToGrid w:val="0"/>
          <w:sz w:val="32"/>
        </w:rPr>
      </w:pPr>
      <w:r>
        <w:rPr>
          <w:rFonts w:hint="eastAsia" w:ascii="方正小标宋简体" w:hAnsi="方正小标宋简体" w:eastAsia="方正小标宋简体" w:cs="方正小标宋简体"/>
          <w:color w:val="000000"/>
          <w:sz w:val="44"/>
          <w:szCs w:val="44"/>
        </w:rPr>
        <w:t>市属事业单位领导</w:t>
      </w:r>
      <w:r>
        <w:rPr>
          <w:rFonts w:hint="eastAsia" w:ascii="方正小标宋简体" w:hAnsi="方正小标宋简体" w:eastAsia="方正小标宋简体" w:cs="方正小标宋简体"/>
          <w:color w:val="000000"/>
          <w:sz w:val="44"/>
          <w:szCs w:val="44"/>
          <w:lang w:val="en-US" w:eastAsia="zh-CN"/>
        </w:rPr>
        <w:t>干部</w:t>
      </w:r>
      <w:r>
        <w:rPr>
          <w:rFonts w:hint="eastAsia" w:ascii="方正小标宋简体" w:hAnsi="方正小标宋简体" w:eastAsia="方正小标宋简体" w:cs="方正小标宋简体"/>
          <w:color w:val="000000"/>
          <w:sz w:val="44"/>
          <w:szCs w:val="44"/>
        </w:rPr>
        <w:t>民主测评表</w:t>
      </w:r>
    </w:p>
    <w:tbl>
      <w:tblPr>
        <w:tblStyle w:val="3"/>
        <w:tblW w:w="14173" w:type="dxa"/>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82"/>
        <w:gridCol w:w="464"/>
        <w:gridCol w:w="465"/>
        <w:gridCol w:w="465"/>
        <w:gridCol w:w="465"/>
        <w:gridCol w:w="567"/>
        <w:gridCol w:w="567"/>
        <w:gridCol w:w="567"/>
        <w:gridCol w:w="567"/>
        <w:gridCol w:w="533"/>
        <w:gridCol w:w="533"/>
        <w:gridCol w:w="533"/>
        <w:gridCol w:w="533"/>
        <w:gridCol w:w="533"/>
        <w:gridCol w:w="533"/>
        <w:gridCol w:w="533"/>
        <w:gridCol w:w="533"/>
        <w:gridCol w:w="567"/>
        <w:gridCol w:w="567"/>
        <w:gridCol w:w="567"/>
        <w:gridCol w:w="567"/>
        <w:gridCol w:w="533"/>
        <w:gridCol w:w="533"/>
        <w:gridCol w:w="533"/>
        <w:gridCol w:w="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 w:hRule="atLeast"/>
        </w:trPr>
        <w:tc>
          <w:tcPr>
            <w:tcW w:w="1382" w:type="dxa"/>
            <w:vMerge w:val="restart"/>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评价</w:t>
            </w:r>
            <w:r>
              <w:rPr>
                <w:rFonts w:hint="eastAsia" w:ascii="黑体" w:hAnsi="宋体" w:eastAsia="黑体" w:cs="黑体"/>
                <w:color w:val="000000"/>
                <w:sz w:val="28"/>
                <w:szCs w:val="28"/>
              </w:rPr>
              <w:br w:type="textWrapping"/>
            </w:r>
            <w:r>
              <w:rPr>
                <w:rFonts w:hint="eastAsia" w:ascii="黑体" w:hAnsi="宋体" w:eastAsia="黑体" w:cs="黑体"/>
                <w:color w:val="000000"/>
                <w:sz w:val="28"/>
                <w:szCs w:val="28"/>
              </w:rPr>
              <w:t>要点</w:t>
            </w:r>
          </w:p>
        </w:tc>
        <w:tc>
          <w:tcPr>
            <w:tcW w:w="1859" w:type="dxa"/>
            <w:gridSpan w:val="4"/>
            <w:vMerge w:val="restart"/>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总体评价</w:t>
            </w:r>
          </w:p>
        </w:tc>
        <w:tc>
          <w:tcPr>
            <w:tcW w:w="2268"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德</w:t>
            </w:r>
          </w:p>
        </w:tc>
        <w:tc>
          <w:tcPr>
            <w:tcW w:w="2132"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能</w:t>
            </w:r>
          </w:p>
        </w:tc>
        <w:tc>
          <w:tcPr>
            <w:tcW w:w="2132"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勤</w:t>
            </w:r>
          </w:p>
        </w:tc>
        <w:tc>
          <w:tcPr>
            <w:tcW w:w="2268"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绩</w:t>
            </w:r>
          </w:p>
        </w:tc>
        <w:tc>
          <w:tcPr>
            <w:tcW w:w="2132"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91" w:hRule="atLeast"/>
        </w:trPr>
        <w:tc>
          <w:tcPr>
            <w:tcW w:w="1382" w:type="dxa"/>
            <w:vMerge w:val="continue"/>
            <w:tcMar>
              <w:top w:w="15" w:type="dxa"/>
              <w:left w:w="15" w:type="dxa"/>
              <w:right w:w="15" w:type="dxa"/>
            </w:tcMar>
            <w:vAlign w:val="center"/>
          </w:tcPr>
          <w:p>
            <w:pPr>
              <w:jc w:val="center"/>
              <w:rPr>
                <w:rFonts w:hint="eastAsia" w:ascii="黑体" w:hAnsi="宋体" w:eastAsia="黑体" w:cs="黑体"/>
                <w:color w:val="000000"/>
                <w:sz w:val="28"/>
                <w:szCs w:val="28"/>
              </w:rPr>
            </w:pPr>
          </w:p>
        </w:tc>
        <w:tc>
          <w:tcPr>
            <w:tcW w:w="1859" w:type="dxa"/>
            <w:gridSpan w:val="4"/>
            <w:vMerge w:val="continue"/>
            <w:tcMar>
              <w:top w:w="15" w:type="dxa"/>
              <w:left w:w="15" w:type="dxa"/>
              <w:right w:w="15" w:type="dxa"/>
            </w:tcMar>
            <w:vAlign w:val="center"/>
          </w:tcPr>
          <w:p>
            <w:pPr>
              <w:jc w:val="center"/>
              <w:rPr>
                <w:rFonts w:hint="eastAsia" w:ascii="黑体" w:hAnsi="宋体" w:eastAsia="黑体" w:cs="黑体"/>
                <w:color w:val="000000"/>
                <w:sz w:val="28"/>
                <w:szCs w:val="28"/>
              </w:rPr>
            </w:pPr>
          </w:p>
        </w:tc>
        <w:tc>
          <w:tcPr>
            <w:tcW w:w="2268" w:type="dxa"/>
            <w:gridSpan w:val="4"/>
            <w:tcMar>
              <w:top w:w="15" w:type="dxa"/>
              <w:left w:w="15" w:type="dxa"/>
              <w:right w:w="15" w:type="dxa"/>
            </w:tcMar>
            <w:vAlign w:val="top"/>
          </w:tcPr>
          <w:p>
            <w:pPr>
              <w:widowControl/>
              <w:spacing w:line="200" w:lineRule="exact"/>
              <w:ind w:left="0"/>
              <w:textAlignment w:val="center"/>
              <w:rPr>
                <w:rFonts w:ascii="仿宋" w:hAnsi="仿宋" w:eastAsia="仿宋" w:cs="仿宋"/>
                <w:color w:val="000000"/>
                <w:sz w:val="16"/>
                <w:szCs w:val="16"/>
              </w:rPr>
            </w:pPr>
            <w:r>
              <w:rPr>
                <w:rFonts w:hint="eastAsia" w:ascii="仿宋" w:hAnsi="仿宋" w:eastAsia="仿宋" w:cs="仿宋"/>
                <w:color w:val="000000"/>
                <w:sz w:val="16"/>
                <w:szCs w:val="16"/>
              </w:rPr>
              <w:t>围绕政治品质和道德品行进行评价。政治品质方面，评价自觉用习近平新时代中国特色社会主义思想和党的十九大及十九届二中、三中、四中</w:t>
            </w:r>
            <w:r>
              <w:rPr>
                <w:rFonts w:hint="eastAsia" w:ascii="仿宋" w:hAnsi="仿宋" w:eastAsia="仿宋" w:cs="仿宋"/>
                <w:color w:val="000000"/>
                <w:sz w:val="16"/>
                <w:szCs w:val="16"/>
                <w:lang w:eastAsia="zh-CN"/>
              </w:rPr>
              <w:t>、</w:t>
            </w:r>
            <w:r>
              <w:rPr>
                <w:rFonts w:hint="eastAsia" w:ascii="仿宋" w:hAnsi="仿宋" w:eastAsia="仿宋" w:cs="仿宋"/>
                <w:color w:val="000000"/>
                <w:sz w:val="16"/>
                <w:szCs w:val="16"/>
                <w:lang w:val="en-US" w:eastAsia="zh-CN"/>
              </w:rPr>
              <w:t>五中</w:t>
            </w:r>
            <w:r>
              <w:rPr>
                <w:rFonts w:hint="eastAsia" w:ascii="仿宋" w:hAnsi="仿宋" w:eastAsia="仿宋" w:cs="仿宋"/>
                <w:color w:val="000000"/>
                <w:sz w:val="16"/>
                <w:szCs w:val="16"/>
              </w:rPr>
              <w:t>全会精神武装头脑，深刻领会落实习近平总书记对甘肃重要讲话和指示精神，遵守政治纪律和政治规矩，在思想上政治上行动上同以习近平同志为核心的党中央保持高度一致等情况；道德品行方面，评价坚守忠诚老实、公道正派、实事求是、清正廉洁等价值观，遵守社会公德、职业道德、家庭美德和个人品德，以及坚决反对和抵制“好人主义”“圈子文化”“码头文化”、不信谣、不传谣、不造谣，旗帜鲜明与错误言行作斗争等情况。</w:t>
            </w:r>
          </w:p>
        </w:tc>
        <w:tc>
          <w:tcPr>
            <w:tcW w:w="2132" w:type="dxa"/>
            <w:gridSpan w:val="4"/>
            <w:tcMar>
              <w:top w:w="15" w:type="dxa"/>
              <w:left w:w="15" w:type="dxa"/>
              <w:right w:w="15" w:type="dxa"/>
            </w:tcMar>
            <w:vAlign w:val="top"/>
          </w:tcPr>
          <w:p>
            <w:pPr>
              <w:widowControl/>
              <w:spacing w:line="20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突出评价领导干部超前从全局思考谋划工作，精准制定工作目标和重点任务，创新健全工作体制机制，富有创造性地贯彻执行上级决策部署，卓有成效地推动市委市政府重点工作任务，特别是应对突发事件、群体性事件过程中的政治能力、专业素养和组织领导能力等情况。</w:t>
            </w:r>
          </w:p>
        </w:tc>
        <w:tc>
          <w:tcPr>
            <w:tcW w:w="2132" w:type="dxa"/>
            <w:gridSpan w:val="4"/>
            <w:tcMar>
              <w:top w:w="15" w:type="dxa"/>
              <w:left w:w="15" w:type="dxa"/>
              <w:right w:w="15" w:type="dxa"/>
            </w:tcMar>
            <w:vAlign w:val="top"/>
          </w:tcPr>
          <w:p>
            <w:pPr>
              <w:widowControl/>
              <w:spacing w:line="20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重点评价领导干部的精神状态和工作作风，包括发扬革命精神、斗争精神，坚持“三严三实”，勤勉敬业、恪尽职守，认真负责、紧抓快办，锐意进取、敢于担当，艰苦奋斗、甘于奉献等情况。</w:t>
            </w:r>
          </w:p>
        </w:tc>
        <w:tc>
          <w:tcPr>
            <w:tcW w:w="2268" w:type="dxa"/>
            <w:gridSpan w:val="4"/>
            <w:tcMar>
              <w:top w:w="15" w:type="dxa"/>
              <w:left w:w="15" w:type="dxa"/>
              <w:right w:w="15" w:type="dxa"/>
            </w:tcMar>
            <w:vAlign w:val="top"/>
          </w:tcPr>
          <w:p>
            <w:pPr>
              <w:widowControl/>
              <w:spacing w:line="20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主要评价领导干部贯彻落实党中央决策部署和省委省政府工作安排以及市委市政府中心工作，特别是市委八届十次</w:t>
            </w:r>
            <w:r>
              <w:rPr>
                <w:rFonts w:hint="eastAsia" w:ascii="仿宋" w:hAnsi="仿宋" w:eastAsia="仿宋" w:cs="仿宋"/>
                <w:color w:val="000000"/>
                <w:sz w:val="16"/>
                <w:szCs w:val="16"/>
                <w:lang w:eastAsia="zh-CN"/>
              </w:rPr>
              <w:t>、</w:t>
            </w:r>
            <w:r>
              <w:rPr>
                <w:rFonts w:hint="eastAsia" w:ascii="仿宋" w:hAnsi="仿宋" w:eastAsia="仿宋" w:cs="仿宋"/>
                <w:color w:val="000000"/>
                <w:sz w:val="16"/>
                <w:szCs w:val="16"/>
                <w:lang w:val="en-US" w:eastAsia="zh-CN"/>
              </w:rPr>
              <w:t>十一次、十二次</w:t>
            </w:r>
            <w:r>
              <w:rPr>
                <w:rFonts w:hint="eastAsia" w:ascii="仿宋" w:hAnsi="仿宋" w:eastAsia="仿宋" w:cs="仿宋"/>
                <w:color w:val="000000"/>
                <w:sz w:val="16"/>
                <w:szCs w:val="16"/>
              </w:rPr>
              <w:t>全会精神，履职尽责、完成日常工作以及承担急难险重任务、处理复杂问题、应对重大考验的情况和实际成效。根据行业性质和工作职能，突出不同评价重点：教育单位突出学校管理和教育教学质量等内容。科研单位突出科技成果产出和转化、支撑产业发展等内容。宣传文化单位突出规范管理、业务开展等内容。医疗卫生单位突出医疗服务质量和安全、医疗费用控制、依法依规管理、医德医风建设等内容。其他事业单位根据行业性质和工作职能，由行业主管部门确定评价重点。</w:t>
            </w:r>
          </w:p>
        </w:tc>
        <w:tc>
          <w:tcPr>
            <w:tcW w:w="2132" w:type="dxa"/>
            <w:gridSpan w:val="4"/>
            <w:tcMar>
              <w:top w:w="15" w:type="dxa"/>
              <w:left w:w="15" w:type="dxa"/>
              <w:right w:w="15" w:type="dxa"/>
            </w:tcMar>
            <w:vAlign w:val="top"/>
          </w:tcPr>
          <w:p>
            <w:pPr>
              <w:widowControl/>
              <w:spacing w:line="20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严格按照十九届中央纪委四次全会精神和十三届省纪委四次全会精神要求，落实党风廉政建设“一岗双责”政治责任，遵守廉洁自律准则，带头落实中央八项规定及其实施细则精神，秉公用权，树立良好家风，严格要求亲属和身边工作人员，反对“四风”和特权思想、特权现象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19" w:hRule="atLeast"/>
        </w:trPr>
        <w:tc>
          <w:tcPr>
            <w:tcW w:w="1382" w:type="dxa"/>
            <w:tcMar>
              <w:top w:w="15" w:type="dxa"/>
              <w:left w:w="15" w:type="dxa"/>
              <w:right w:w="15" w:type="dxa"/>
            </w:tcMar>
            <w:vAlign w:val="top"/>
          </w:tcPr>
          <w:p>
            <w:pPr>
              <w:widowControl/>
              <w:spacing w:line="260" w:lineRule="exact"/>
              <w:ind w:left="0"/>
              <w:jc w:val="left"/>
              <w:textAlignment w:val="top"/>
              <w:rPr>
                <w:rFonts w:hint="eastAsia" w:ascii="黑体" w:hAnsi="宋体" w:eastAsia="黑体" w:cs="黑体"/>
                <w:color w:val="000000"/>
                <w:sz w:val="22"/>
                <w:szCs w:val="22"/>
              </w:rPr>
            </w:pPr>
            <w:r>
              <w:rPr>
                <w:rFonts w:ascii="Times New Roman" w:hAnsi="Times New Roman" w:eastAsia="宋体" w:cs="Times New Roman"/>
                <w:sz w:val="22"/>
                <w:lang w:val="en-US" w:eastAsia="zh-CN" w:bidi="ar-SA"/>
              </w:rPr>
              <w:pict>
                <v:line id="直线 51" o:spid="_x0000_s1026" o:spt="20" style="position:absolute;left:0pt;margin-left:1.05pt;margin-top:-0.2pt;height:57pt;width:69pt;z-index:251658240;mso-width-relative:page;mso-height-relative:page;" fillcolor="#FFFFFF" filled="f" o:preferrelative="t" stroked="t" coordsize="21600,21600">
                  <v:path arrowok="t"/>
                  <v:fill on="f" color2="#FFFFFF" focussize="0,0"/>
                  <v:stroke color="#000000" color2="#FFFFFF" miterlimit="2"/>
                  <v:imagedata gain="65536f" blacklevel="0f" gamma="0" o:title=""/>
                  <o:lock v:ext="edit" position="f" selection="f" grouping="f" rotation="f" cropping="f" text="f" aspectratio="f"/>
                </v:line>
              </w:pict>
            </w:r>
            <w:r>
              <w:rPr>
                <w:rFonts w:hint="eastAsia" w:ascii="黑体" w:hAnsi="宋体" w:eastAsia="黑体" w:cs="黑体"/>
                <w:color w:val="000000"/>
                <w:sz w:val="22"/>
                <w:szCs w:val="22"/>
              </w:rPr>
              <w:t xml:space="preserve">       评价</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rPr>
              <w:t xml:space="preserve">       意见</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lang w:val="en-US" w:eastAsia="zh-CN"/>
              </w:rPr>
              <w:t xml:space="preserve"> </w:t>
            </w:r>
            <w:r>
              <w:rPr>
                <w:rFonts w:hint="eastAsia" w:ascii="黑体" w:hAnsi="宋体" w:eastAsia="黑体" w:cs="黑体"/>
                <w:color w:val="000000"/>
                <w:sz w:val="22"/>
                <w:szCs w:val="22"/>
              </w:rPr>
              <w:t>领导</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lang w:val="en-US" w:eastAsia="zh-CN"/>
              </w:rPr>
              <w:t xml:space="preserve"> </w:t>
            </w:r>
            <w:r>
              <w:rPr>
                <w:rFonts w:hint="eastAsia" w:ascii="黑体" w:hAnsi="宋体" w:eastAsia="黑体" w:cs="黑体"/>
                <w:color w:val="000000"/>
                <w:sz w:val="22"/>
                <w:szCs w:val="22"/>
              </w:rPr>
              <w:t>人员</w:t>
            </w:r>
          </w:p>
        </w:tc>
        <w:tc>
          <w:tcPr>
            <w:tcW w:w="464"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465"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465"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465"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67"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67"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67"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67"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33"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33"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33"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33"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33"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33"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33"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33"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67"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67"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67"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67"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33"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33"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33"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33"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atLeast"/>
        </w:trPr>
        <w:tc>
          <w:tcPr>
            <w:tcW w:w="1382" w:type="dxa"/>
            <w:tcMar>
              <w:top w:w="15" w:type="dxa"/>
              <w:left w:w="15" w:type="dxa"/>
              <w:right w:w="15" w:type="dxa"/>
            </w:tcMar>
            <w:vAlign w:val="center"/>
          </w:tcPr>
          <w:p>
            <w:pPr>
              <w:rPr>
                <w:rFonts w:hint="eastAsia" w:ascii="黑体" w:hAnsi="宋体" w:eastAsia="黑体" w:cs="黑体"/>
                <w:color w:val="000000"/>
                <w:sz w:val="28"/>
                <w:szCs w:val="28"/>
              </w:rPr>
            </w:pPr>
          </w:p>
        </w:tc>
        <w:tc>
          <w:tcPr>
            <w:tcW w:w="464"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465"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465"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465"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567" w:type="dxa"/>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567" w:type="dxa"/>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567" w:type="dxa"/>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567" w:type="dxa"/>
            <w:tcMar>
              <w:top w:w="15" w:type="dxa"/>
              <w:left w:w="15" w:type="dxa"/>
              <w:right w:w="15" w:type="dxa"/>
            </w:tcMar>
            <w:vAlign w:val="center"/>
          </w:tcPr>
          <w:p>
            <w:pPr>
              <w:jc w:val="left"/>
              <w:rPr>
                <w:rFonts w:hint="eastAsia" w:ascii="仿宋" w:hAnsi="仿宋" w:eastAsia="仿宋" w:cs="仿宋"/>
                <w:color w:val="000000"/>
                <w:sz w:val="18"/>
                <w:szCs w:val="18"/>
                <w:u w:val="single"/>
              </w:rPr>
            </w:pPr>
          </w:p>
        </w:tc>
        <w:tc>
          <w:tcPr>
            <w:tcW w:w="533" w:type="dxa"/>
            <w:tcMar>
              <w:top w:w="15" w:type="dxa"/>
              <w:left w:w="15" w:type="dxa"/>
              <w:right w:w="15" w:type="dxa"/>
            </w:tcMar>
            <w:vAlign w:val="center"/>
          </w:tcPr>
          <w:p>
            <w:pPr>
              <w:rPr>
                <w:rFonts w:hint="eastAsia" w:ascii="宋体" w:hAnsi="宋体" w:cs="宋体"/>
                <w:color w:val="000000"/>
                <w:sz w:val="24"/>
                <w:szCs w:val="24"/>
              </w:rPr>
            </w:pPr>
          </w:p>
        </w:tc>
        <w:tc>
          <w:tcPr>
            <w:tcW w:w="533" w:type="dxa"/>
            <w:tcMar>
              <w:top w:w="15" w:type="dxa"/>
              <w:left w:w="15" w:type="dxa"/>
              <w:right w:w="15" w:type="dxa"/>
            </w:tcMar>
            <w:vAlign w:val="center"/>
          </w:tcPr>
          <w:p>
            <w:pPr>
              <w:rPr>
                <w:rFonts w:hint="eastAsia" w:ascii="宋体" w:hAnsi="宋体" w:cs="宋体"/>
                <w:color w:val="000000"/>
                <w:sz w:val="24"/>
                <w:szCs w:val="24"/>
              </w:rPr>
            </w:pPr>
          </w:p>
        </w:tc>
        <w:tc>
          <w:tcPr>
            <w:tcW w:w="533" w:type="dxa"/>
            <w:tcMar>
              <w:top w:w="15" w:type="dxa"/>
              <w:left w:w="15" w:type="dxa"/>
              <w:right w:w="15" w:type="dxa"/>
            </w:tcMar>
            <w:vAlign w:val="center"/>
          </w:tcPr>
          <w:p>
            <w:pPr>
              <w:rPr>
                <w:rFonts w:hint="eastAsia" w:ascii="宋体" w:hAnsi="宋体" w:cs="宋体"/>
                <w:color w:val="000000"/>
                <w:sz w:val="24"/>
                <w:szCs w:val="24"/>
              </w:rPr>
            </w:pPr>
          </w:p>
        </w:tc>
        <w:tc>
          <w:tcPr>
            <w:tcW w:w="533" w:type="dxa"/>
            <w:tcMar>
              <w:top w:w="15" w:type="dxa"/>
              <w:left w:w="15" w:type="dxa"/>
              <w:right w:w="15" w:type="dxa"/>
            </w:tcMar>
            <w:vAlign w:val="center"/>
          </w:tcPr>
          <w:p>
            <w:pPr>
              <w:rPr>
                <w:rFonts w:hint="eastAsia" w:ascii="宋体" w:hAnsi="宋体" w:cs="宋体"/>
                <w:color w:val="000000"/>
                <w:sz w:val="24"/>
                <w:szCs w:val="24"/>
              </w:rPr>
            </w:pPr>
          </w:p>
        </w:tc>
        <w:tc>
          <w:tcPr>
            <w:tcW w:w="533" w:type="dxa"/>
            <w:tcMar>
              <w:top w:w="15" w:type="dxa"/>
              <w:left w:w="15" w:type="dxa"/>
              <w:right w:w="15" w:type="dxa"/>
            </w:tcMar>
            <w:vAlign w:val="center"/>
          </w:tcPr>
          <w:p>
            <w:pPr>
              <w:rPr>
                <w:rFonts w:hint="eastAsia" w:ascii="宋体" w:hAnsi="宋体" w:cs="宋体"/>
                <w:color w:val="000000"/>
                <w:sz w:val="24"/>
                <w:szCs w:val="24"/>
              </w:rPr>
            </w:pPr>
          </w:p>
        </w:tc>
        <w:tc>
          <w:tcPr>
            <w:tcW w:w="533" w:type="dxa"/>
            <w:tcMar>
              <w:top w:w="15" w:type="dxa"/>
              <w:left w:w="15" w:type="dxa"/>
              <w:right w:w="15" w:type="dxa"/>
            </w:tcMar>
            <w:vAlign w:val="center"/>
          </w:tcPr>
          <w:p>
            <w:pPr>
              <w:rPr>
                <w:rFonts w:hint="eastAsia" w:ascii="宋体" w:hAnsi="宋体" w:cs="宋体"/>
                <w:color w:val="000000"/>
                <w:sz w:val="24"/>
                <w:szCs w:val="24"/>
              </w:rPr>
            </w:pPr>
          </w:p>
        </w:tc>
        <w:tc>
          <w:tcPr>
            <w:tcW w:w="533" w:type="dxa"/>
            <w:tcMar>
              <w:top w:w="15" w:type="dxa"/>
              <w:left w:w="15" w:type="dxa"/>
              <w:right w:w="15" w:type="dxa"/>
            </w:tcMar>
            <w:vAlign w:val="center"/>
          </w:tcPr>
          <w:p>
            <w:pPr>
              <w:rPr>
                <w:rFonts w:hint="eastAsia" w:ascii="宋体" w:hAnsi="宋体" w:cs="宋体"/>
                <w:color w:val="000000"/>
                <w:sz w:val="24"/>
                <w:szCs w:val="24"/>
              </w:rPr>
            </w:pPr>
          </w:p>
        </w:tc>
        <w:tc>
          <w:tcPr>
            <w:tcW w:w="533" w:type="dxa"/>
            <w:tcMar>
              <w:top w:w="15" w:type="dxa"/>
              <w:left w:w="15" w:type="dxa"/>
              <w:right w:w="15" w:type="dxa"/>
            </w:tcMar>
            <w:vAlign w:val="center"/>
          </w:tcPr>
          <w:p>
            <w:pPr>
              <w:rPr>
                <w:rFonts w:hint="eastAsia" w:ascii="宋体" w:hAnsi="宋体" w:cs="宋体"/>
                <w:color w:val="000000"/>
                <w:sz w:val="24"/>
                <w:szCs w:val="24"/>
              </w:rPr>
            </w:pPr>
          </w:p>
        </w:tc>
        <w:tc>
          <w:tcPr>
            <w:tcW w:w="567" w:type="dxa"/>
            <w:tcMar>
              <w:top w:w="15" w:type="dxa"/>
              <w:left w:w="15" w:type="dxa"/>
              <w:right w:w="15" w:type="dxa"/>
            </w:tcMar>
            <w:vAlign w:val="center"/>
          </w:tcPr>
          <w:p>
            <w:pPr>
              <w:rPr>
                <w:rFonts w:hint="eastAsia" w:ascii="宋体" w:hAnsi="宋体" w:cs="宋体"/>
                <w:color w:val="000000"/>
                <w:sz w:val="24"/>
                <w:szCs w:val="24"/>
              </w:rPr>
            </w:pPr>
          </w:p>
        </w:tc>
        <w:tc>
          <w:tcPr>
            <w:tcW w:w="567" w:type="dxa"/>
            <w:tcMar>
              <w:top w:w="15" w:type="dxa"/>
              <w:left w:w="15" w:type="dxa"/>
              <w:right w:w="15" w:type="dxa"/>
            </w:tcMar>
            <w:vAlign w:val="center"/>
          </w:tcPr>
          <w:p>
            <w:pPr>
              <w:rPr>
                <w:rFonts w:hint="eastAsia" w:ascii="宋体" w:hAnsi="宋体" w:cs="宋体"/>
                <w:color w:val="000000"/>
                <w:sz w:val="24"/>
                <w:szCs w:val="24"/>
              </w:rPr>
            </w:pPr>
          </w:p>
        </w:tc>
        <w:tc>
          <w:tcPr>
            <w:tcW w:w="567" w:type="dxa"/>
            <w:tcMar>
              <w:top w:w="15" w:type="dxa"/>
              <w:left w:w="15" w:type="dxa"/>
              <w:right w:w="15" w:type="dxa"/>
            </w:tcMar>
            <w:vAlign w:val="center"/>
          </w:tcPr>
          <w:p>
            <w:pPr>
              <w:rPr>
                <w:rFonts w:hint="eastAsia" w:ascii="宋体" w:hAnsi="宋体" w:cs="宋体"/>
                <w:color w:val="000000"/>
                <w:sz w:val="24"/>
                <w:szCs w:val="24"/>
              </w:rPr>
            </w:pPr>
          </w:p>
        </w:tc>
        <w:tc>
          <w:tcPr>
            <w:tcW w:w="567" w:type="dxa"/>
            <w:tcMar>
              <w:top w:w="15" w:type="dxa"/>
              <w:left w:w="15" w:type="dxa"/>
              <w:right w:w="15" w:type="dxa"/>
            </w:tcMar>
            <w:vAlign w:val="center"/>
          </w:tcPr>
          <w:p>
            <w:pPr>
              <w:rPr>
                <w:rFonts w:hint="eastAsia" w:ascii="宋体" w:hAnsi="宋体" w:cs="宋体"/>
                <w:color w:val="000000"/>
                <w:sz w:val="24"/>
                <w:szCs w:val="24"/>
              </w:rPr>
            </w:pPr>
          </w:p>
        </w:tc>
        <w:tc>
          <w:tcPr>
            <w:tcW w:w="533" w:type="dxa"/>
            <w:tcMar>
              <w:top w:w="15" w:type="dxa"/>
              <w:left w:w="15" w:type="dxa"/>
              <w:right w:w="15" w:type="dxa"/>
            </w:tcMar>
            <w:vAlign w:val="center"/>
          </w:tcPr>
          <w:p>
            <w:pPr>
              <w:rPr>
                <w:rFonts w:hint="eastAsia" w:ascii="宋体" w:hAnsi="宋体" w:cs="宋体"/>
                <w:color w:val="000000"/>
                <w:sz w:val="24"/>
                <w:szCs w:val="24"/>
              </w:rPr>
            </w:pPr>
          </w:p>
        </w:tc>
        <w:tc>
          <w:tcPr>
            <w:tcW w:w="533" w:type="dxa"/>
            <w:tcMar>
              <w:top w:w="15" w:type="dxa"/>
              <w:left w:w="15" w:type="dxa"/>
              <w:right w:w="15" w:type="dxa"/>
            </w:tcMar>
            <w:vAlign w:val="center"/>
          </w:tcPr>
          <w:p>
            <w:pPr>
              <w:rPr>
                <w:rFonts w:hint="eastAsia" w:ascii="宋体" w:hAnsi="宋体" w:cs="宋体"/>
                <w:color w:val="000000"/>
                <w:sz w:val="24"/>
                <w:szCs w:val="24"/>
              </w:rPr>
            </w:pPr>
          </w:p>
        </w:tc>
        <w:tc>
          <w:tcPr>
            <w:tcW w:w="533" w:type="dxa"/>
            <w:tcMar>
              <w:top w:w="15" w:type="dxa"/>
              <w:left w:w="15" w:type="dxa"/>
              <w:right w:w="15" w:type="dxa"/>
            </w:tcMar>
            <w:vAlign w:val="center"/>
          </w:tcPr>
          <w:p>
            <w:pPr>
              <w:rPr>
                <w:rFonts w:hint="eastAsia" w:ascii="宋体" w:hAnsi="宋体" w:cs="宋体"/>
                <w:color w:val="000000"/>
                <w:sz w:val="24"/>
                <w:szCs w:val="24"/>
              </w:rPr>
            </w:pPr>
          </w:p>
        </w:tc>
        <w:tc>
          <w:tcPr>
            <w:tcW w:w="533" w:type="dxa"/>
            <w:tcMar>
              <w:top w:w="15" w:type="dxa"/>
              <w:left w:w="15" w:type="dxa"/>
              <w:right w:w="15" w:type="dxa"/>
            </w:tcMar>
            <w:vAlign w:val="center"/>
          </w:tcPr>
          <w:p>
            <w:pPr>
              <w:rPr>
                <w:rFonts w:hint="eastAsia"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3" w:hRule="atLeast"/>
        </w:trPr>
        <w:tc>
          <w:tcPr>
            <w:tcW w:w="1382"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备注</w:t>
            </w:r>
          </w:p>
        </w:tc>
        <w:tc>
          <w:tcPr>
            <w:tcW w:w="12791" w:type="dxa"/>
            <w:gridSpan w:val="24"/>
            <w:tcMar>
              <w:top w:w="15" w:type="dxa"/>
              <w:left w:w="15" w:type="dxa"/>
              <w:right w:w="15" w:type="dxa"/>
            </w:tcMar>
            <w:vAlign w:val="center"/>
          </w:tcPr>
          <w:p>
            <w:pPr>
              <w:widowControl/>
              <w:spacing w:line="260" w:lineRule="exact"/>
              <w:ind w:left="0"/>
              <w:jc w:val="left"/>
              <w:textAlignment w:val="center"/>
              <w:rPr>
                <w:rFonts w:hint="eastAsia" w:ascii="楷体_GB2312" w:hAnsi="宋体" w:eastAsia="楷体_GB2312" w:cs="楷体_GB2312"/>
                <w:color w:val="000000"/>
                <w:sz w:val="22"/>
                <w:szCs w:val="22"/>
              </w:rPr>
            </w:pPr>
            <w:r>
              <w:rPr>
                <w:rFonts w:hint="eastAsia" w:ascii="楷体_GB2312" w:hAnsi="宋体" w:eastAsia="楷体_GB2312" w:cs="楷体_GB2312"/>
                <w:color w:val="000000"/>
                <w:sz w:val="22"/>
                <w:szCs w:val="22"/>
              </w:rPr>
              <w:t>1.评价意见按优劣程度，依次界定为“A、B、C、D”四个档次；</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2.请在相应档次的方框内划“√”，只能选择一个档次，多划无效，不划视为弃权；</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3.总体评价中，评定为A等次的领导人员，不超过测评对象的</w:t>
            </w:r>
            <w:r>
              <w:rPr>
                <w:rFonts w:hint="eastAsia" w:ascii="楷体_GB2312" w:hAnsi="宋体" w:eastAsia="楷体_GB2312" w:cs="楷体_GB2312"/>
                <w:color w:val="000000"/>
                <w:sz w:val="22"/>
                <w:szCs w:val="22"/>
                <w:lang w:val="en-US" w:eastAsia="zh-CN"/>
              </w:rPr>
              <w:t>20%</w:t>
            </w:r>
            <w:r>
              <w:rPr>
                <w:rFonts w:hint="eastAsia" w:ascii="楷体_GB2312" w:hAnsi="宋体" w:eastAsia="楷体_GB2312" w:cs="楷体_GB2312"/>
                <w:color w:val="000000"/>
                <w:sz w:val="22"/>
                <w:szCs w:val="22"/>
              </w:rPr>
              <w:t>；评定为C和D等次的领导人员，不少于测评对象的</w:t>
            </w:r>
            <w:r>
              <w:rPr>
                <w:rFonts w:hint="eastAsia" w:ascii="楷体_GB2312" w:hAnsi="宋体" w:eastAsia="楷体_GB2312" w:cs="楷体_GB2312"/>
                <w:color w:val="000000"/>
                <w:sz w:val="22"/>
                <w:szCs w:val="22"/>
                <w:lang w:val="en-US" w:eastAsia="zh-CN"/>
              </w:rPr>
              <w:t>20%</w:t>
            </w:r>
            <w:r>
              <w:rPr>
                <w:rFonts w:hint="eastAsia" w:ascii="楷体_GB2312" w:hAnsi="宋体" w:eastAsia="楷体_GB2312" w:cs="楷体_GB2312"/>
                <w:color w:val="000000"/>
                <w:sz w:val="22"/>
                <w:szCs w:val="22"/>
              </w:rPr>
              <w:t xml:space="preserve">。不按规定 </w:t>
            </w:r>
          </w:p>
          <w:p>
            <w:pPr>
              <w:widowControl/>
              <w:spacing w:line="260" w:lineRule="exact"/>
              <w:ind w:left="0"/>
              <w:jc w:val="left"/>
              <w:textAlignment w:val="center"/>
              <w:rPr>
                <w:rFonts w:ascii="楷体_GB2312" w:hAnsi="宋体" w:eastAsia="楷体_GB2312" w:cs="楷体_GB2312"/>
                <w:color w:val="000000"/>
                <w:sz w:val="26"/>
                <w:szCs w:val="26"/>
              </w:rPr>
            </w:pPr>
            <w:r>
              <w:rPr>
                <w:rFonts w:hint="eastAsia" w:ascii="楷体_GB2312" w:hAnsi="宋体" w:eastAsia="楷体_GB2312" w:cs="楷体_GB2312"/>
                <w:color w:val="000000"/>
                <w:sz w:val="22"/>
                <w:szCs w:val="22"/>
              </w:rPr>
              <w:t>数量评价的视为无效票。</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4.民主测评得分按“总体评价”栏的得票情况计算，公式为：（“A”票数×1.0＋“B”票数×</w:t>
            </w:r>
            <w:r>
              <w:rPr>
                <w:rFonts w:hint="eastAsia" w:ascii="楷体_GB2312" w:hAnsi="宋体" w:eastAsia="楷体_GB2312" w:cs="楷体_GB2312"/>
                <w:color w:val="000000"/>
                <w:sz w:val="22"/>
                <w:szCs w:val="22"/>
                <w:lang w:val="en-US" w:eastAsia="zh-CN"/>
              </w:rPr>
              <w:t>0.9</w:t>
            </w:r>
            <w:r>
              <w:rPr>
                <w:rFonts w:hint="eastAsia" w:ascii="楷体_GB2312" w:hAnsi="宋体" w:eastAsia="楷体_GB2312" w:cs="楷体_GB2312"/>
                <w:color w:val="000000"/>
                <w:sz w:val="22"/>
                <w:szCs w:val="22"/>
              </w:rPr>
              <w:t>＋“C”票数×</w:t>
            </w:r>
            <w:r>
              <w:rPr>
                <w:rFonts w:hint="eastAsia" w:ascii="楷体_GB2312" w:hAnsi="宋体" w:eastAsia="楷体_GB2312" w:cs="楷体_GB2312"/>
                <w:color w:val="000000"/>
                <w:sz w:val="22"/>
                <w:szCs w:val="22"/>
                <w:lang w:val="en-US" w:eastAsia="zh-CN"/>
              </w:rPr>
              <w:t>0.75</w:t>
            </w:r>
            <w:r>
              <w:rPr>
                <w:rFonts w:hint="eastAsia" w:ascii="楷体_GB2312" w:hAnsi="宋体" w:eastAsia="楷体_GB2312" w:cs="楷体_GB2312"/>
                <w:color w:val="000000"/>
                <w:sz w:val="22"/>
                <w:szCs w:val="22"/>
              </w:rPr>
              <w:t>＋“D”票数×</w:t>
            </w:r>
            <w:r>
              <w:rPr>
                <w:rFonts w:hint="eastAsia" w:ascii="楷体_GB2312" w:hAnsi="宋体" w:eastAsia="楷体_GB2312" w:cs="楷体_GB2312"/>
                <w:color w:val="000000"/>
                <w:sz w:val="22"/>
                <w:szCs w:val="22"/>
                <w:lang w:val="en-US" w:eastAsia="zh-CN"/>
              </w:rPr>
              <w:t>0.5</w:t>
            </w:r>
            <w:r>
              <w:rPr>
                <w:rFonts w:hint="eastAsia" w:ascii="楷体_GB2312" w:hAnsi="宋体" w:eastAsia="楷体_GB2312" w:cs="楷体_GB2312"/>
                <w:color w:val="000000"/>
                <w:sz w:val="22"/>
                <w:szCs w:val="22"/>
              </w:rPr>
              <w:t>）÷测评人数×100。</w:t>
            </w:r>
          </w:p>
        </w:tc>
      </w:tr>
    </w:tbl>
    <w:p>
      <w:pPr>
        <w:widowControl w:val="0"/>
        <w:wordWrap/>
        <w:adjustRightInd/>
        <w:snapToGrid/>
        <w:spacing w:before="0" w:after="0" w:line="40" w:lineRule="exact"/>
        <w:ind w:left="0" w:leftChars="0" w:right="0" w:firstLine="0" w:firstLineChars="0"/>
        <w:jc w:val="both"/>
        <w:textAlignment w:val="bottom"/>
        <w:outlineLvl w:val="9"/>
      </w:pPr>
    </w:p>
    <w:sectPr>
      <w:pgSz w:w="16781" w:h="11849" w:orient="landscape"/>
      <w:pgMar w:top="1417" w:right="1417" w:bottom="1417" w:left="1417" w:header="720" w:footer="720" w:gutter="0"/>
      <w:cols w:space="720" w:num="1"/>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val="1"/>
  <w:bordersDoNotSurroundFooter w:val="1"/>
  <w:documentProtection w:enforcement="0"/>
  <w:defaultTabStop w:val="5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278C37E7"/>
    <w:rsid w:val="3D6E4EDF"/>
    <w:rsid w:val="4051022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line="365" w:lineRule="atLeast"/>
      <w:ind w:left="1"/>
      <w:jc w:val="both"/>
      <w:textAlignment w:val="bottom"/>
    </w:pPr>
    <w:rPr>
      <w:rFonts w:ascii="Times New Roman" w:hAnsi="Times New Roman" w:eastAsia="宋体" w:cs="Times New Roman"/>
      <w:lang w:val="en-US" w:eastAsia="zh-CN" w:bidi="ar-SA"/>
    </w:rPr>
  </w:style>
  <w:style w:type="character" w:default="1" w:styleId="4">
    <w:name w:val="Default Paragraph Font"/>
    <w:unhideWhenUsed/>
    <w:uiPriority w:val="0"/>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spacing w:line="240" w:lineRule="atLeast"/>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2020-10-26T16:03:00Z</dcterms:created>
  <dc:creator>Administrator</dc:creator>
  <cp:lastModifiedBy>Administrator</cp:lastModifiedBy>
  <dcterms:modified xsi:type="dcterms:W3CDTF">2021-01-15T15:54:05Z</dcterms:modified>
  <dc:title>金昌市市管领导班子和领导干部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