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0"/>
        <w:rPr>
          <w:rFonts w:hint="default" w:ascii="黑体" w:hAnsi="黑体" w:eastAsia="黑体" w:cs="黑体"/>
          <w:snapToGrid w:val="0"/>
          <w:sz w:val="32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/>
        </w:rPr>
        <w:t>7-4</w:t>
      </w:r>
      <w:bookmarkStart w:id="0" w:name="_GoBack"/>
      <w:bookmarkEnd w:id="0"/>
    </w:p>
    <w:p>
      <w:pPr>
        <w:spacing w:line="560" w:lineRule="exact"/>
        <w:ind w:left="0"/>
        <w:jc w:val="center"/>
        <w:rPr>
          <w:rFonts w:hint="eastAsia" w:ascii="黑体" w:hAnsi="黑体" w:eastAsia="黑体" w:cs="黑体"/>
          <w:snapToGrid w:val="0"/>
          <w:sz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市直部门领导干部年度考核上级评价表</w:t>
      </w:r>
    </w:p>
    <w:tbl>
      <w:tblPr>
        <w:tblStyle w:val="3"/>
        <w:tblW w:w="14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1"/>
        <w:gridCol w:w="612"/>
        <w:gridCol w:w="612"/>
        <w:gridCol w:w="613"/>
        <w:gridCol w:w="613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371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评价</w:t>
            </w: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标准</w:t>
            </w:r>
          </w:p>
        </w:tc>
        <w:tc>
          <w:tcPr>
            <w:tcW w:w="2450" w:type="dxa"/>
            <w:gridSpan w:val="4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总体评价</w:t>
            </w:r>
          </w:p>
        </w:tc>
        <w:tc>
          <w:tcPr>
            <w:tcW w:w="2588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政治态度</w:t>
            </w:r>
          </w:p>
        </w:tc>
        <w:tc>
          <w:tcPr>
            <w:tcW w:w="2588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担当精神</w:t>
            </w:r>
          </w:p>
        </w:tc>
        <w:tc>
          <w:tcPr>
            <w:tcW w:w="2588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工作实绩</w:t>
            </w:r>
          </w:p>
        </w:tc>
        <w:tc>
          <w:tcPr>
            <w:tcW w:w="2588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廉洁自律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1" w:hRule="atLeast"/>
          <w:jc w:val="center"/>
        </w:trPr>
        <w:tc>
          <w:tcPr>
            <w:tcW w:w="1371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450" w:type="dxa"/>
            <w:gridSpan w:val="4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588" w:type="dxa"/>
            <w:gridSpan w:val="4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40" w:lineRule="exact"/>
              <w:ind w:left="0"/>
              <w:textAlignment w:val="center"/>
              <w:rPr>
                <w:rFonts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深入贯彻执行党的路线方针政策，带头组织、参加各项政治理论学习，对干部职工中存在的思想认识偏差积极引导，政治敏锐性强，表率作用突出；模范遵守社会公德，有高尚的道德情操，在群众中能够起到先进带头作用；任何情况下都能遵照原则和规定秉公办事，在重大事件、关键时刻立场坚定、旗帜鲜明，敢于同不正之风做斗争。</w:t>
            </w:r>
          </w:p>
        </w:tc>
        <w:tc>
          <w:tcPr>
            <w:tcW w:w="2588" w:type="dxa"/>
            <w:gridSpan w:val="4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40" w:lineRule="exact"/>
              <w:ind w:left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理论知识和实践经验丰富，独立分析处理问题的能力突出；始终能够保持昂扬的斗志和饱满的工作热情，热爱学习，刻苦钻研，任劳任怨，能够感染带动下属；经常主动深入基层开展调查研究，虚心听取干部群众意见，勇于进行批评与自我批评；对事业倾注全部精力，勇挑重担，敢于承担风险，总是试图将工作做得最好，从不推卸责任。</w:t>
            </w:r>
          </w:p>
        </w:tc>
        <w:tc>
          <w:tcPr>
            <w:tcW w:w="2588" w:type="dxa"/>
            <w:gridSpan w:val="4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40" w:lineRule="exact"/>
              <w:ind w:left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能够紧扣年度任务，开展日常工作，按时高质量完成阶段性目标和年度各项重点工作任务；敢于正视矛盾，积极寻求解决问题办法，善于发动干部群众，制定科学的解决方案，圆满彻底解决存在矛盾；注重工作长期规划和发展的可持续性，管理规范、内控严密，能够紧密结合实际，创造性开展工作。</w:t>
            </w:r>
          </w:p>
        </w:tc>
        <w:tc>
          <w:tcPr>
            <w:tcW w:w="2588" w:type="dxa"/>
            <w:gridSpan w:val="4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40" w:lineRule="exact"/>
              <w:ind w:left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模范遵守各项廉政规定，主动接受干部群众监督，并以身作则，严格要求配偶、子女和身边工作人员，在经济方面和生活作风方面能起到榜样作用和表率作用；严格按照党风廉政建设相关规定进行工作部署，经常开展反腐倡廉宣传教育，努力建立腐败预防监督机制，工作单位或部门风清气正，没有违规违纪问题发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jc w:val="center"/>
        </w:trPr>
        <w:tc>
          <w:tcPr>
            <w:tcW w:w="1371" w:type="dxa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60" w:lineRule="exact"/>
              <w:ind w:left="0"/>
              <w:jc w:val="left"/>
              <w:textAlignment w:val="top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lang w:val="en-US" w:eastAsia="zh-CN" w:bidi="ar-SA"/>
              </w:rPr>
              <w:pict>
                <v:line id="直线 49" o:spid="_x0000_s1026" o:spt="20" style="position:absolute;left:0pt;margin-left:0.05pt;margin-top:0.5pt;height:54.8pt;width:69pt;z-index:251658240;mso-width-relative:page;mso-height-relative:page;" fillcolor="#FFFFFF" filled="f" o:preferrelative="t" stroked="t" coordsize="21600,21600">
                  <v:path arrowok="t"/>
                  <v:fill on="f" color2="#FFFFFF" focussize="0,0"/>
                  <v:stroke color="#000000" color2="#FFFFFF" miterlimit="2"/>
                  <v:imagedata gain="65536f" blacklevel="0f" gamma="0" o:title=""/>
                  <o:lock v:ext="edit" position="f" selection="f" grouping="f" rotation="f" cropping="f" text="f" aspectratio="f"/>
                </v:line>
              </w:pic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 xml:space="preserve">        评价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 xml:space="preserve">        意见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>领导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>干部</w:t>
            </w:r>
          </w:p>
        </w:tc>
        <w:tc>
          <w:tcPr>
            <w:tcW w:w="61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1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13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1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1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13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1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61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8" w:hRule="atLeast"/>
          <w:jc w:val="center"/>
        </w:trPr>
        <w:tc>
          <w:tcPr>
            <w:tcW w:w="137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12802" w:type="dxa"/>
            <w:gridSpan w:val="2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left="0"/>
              <w:jc w:val="left"/>
              <w:textAlignment w:val="center"/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1.市直部门（单位）主要负责人由市委、市人大常委会、市政府、市政协主要领导以及市委常委、市政府副市长进行评价打分；市人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楷体_GB2312" w:hAnsi="宋体" w:eastAsia="楷体_GB2312" w:cs="楷体_GB2312"/>
                <w:color w:val="000000"/>
                <w:sz w:val="22"/>
                <w:szCs w:val="22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大、市政协内设机构领导干部分别由市人大、市政协主要领导进行量化评价；市直部门（单位）班子副职及其他县级干部由市委、市政府分管领导及班子主要负责人进行量化评价；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4.总体评价中，评价为A等次的领导干部，不超过评价对象的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20%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；评价为C和D等次的领导干部，不少于评价对象的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20%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 xml:space="preserve">。不按规定数量评价的视为无效票。 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5.评价得分按“总体评价”栏的得票情况计算，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公式为：（“A”票数×1.0＋“B”票数×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  <w:lang w:val="en-US" w:eastAsia="zh-CN"/>
              </w:rPr>
              <w:t>0.9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＋“C”票数×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  <w:lang w:val="en-US" w:eastAsia="zh-CN"/>
              </w:rPr>
              <w:t>0.75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＋“D”票数×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  <w:lang w:val="en-US" w:eastAsia="zh-CN"/>
              </w:rPr>
              <w:t>0.5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6781" w:h="11849" w:orient="landscape"/>
      <w:pgMar w:top="1417" w:right="1417" w:bottom="1417" w:left="1417" w:header="720" w:footer="720" w:gutter="0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19E4819"/>
    <w:rsid w:val="675B2696"/>
    <w:rsid w:val="6F661FC0"/>
    <w:rsid w:val="781C7C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3">
    <w:name w:val="Normal Table"/>
    <w:unhideWhenUsed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lenovo</dc:creator>
  <cp:lastModifiedBy>Administrator</cp:lastModifiedBy>
  <dcterms:modified xsi:type="dcterms:W3CDTF">2021-01-15T15:59:56Z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