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left="0"/>
        <w:rPr>
          <w:rFonts w:hint="default" w:ascii="黑体" w:hAnsi="黑体" w:eastAsia="黑体" w:cs="黑体"/>
          <w:snapToGrid w:val="0"/>
          <w:sz w:val="32"/>
          <w:lang w:val="en-US" w:eastAsia="zh-CN"/>
        </w:rPr>
      </w:pPr>
      <w:r>
        <w:rPr>
          <w:rFonts w:hint="eastAsia" w:ascii="黑体" w:hAnsi="宋体" w:eastAsia="黑体" w:cs="黑体"/>
          <w:color w:val="000000"/>
          <w:sz w:val="32"/>
          <w:szCs w:val="32"/>
        </w:rPr>
        <w:t>附件</w:t>
      </w:r>
      <w:r>
        <w:rPr>
          <w:rFonts w:hint="eastAsia" w:ascii="黑体" w:hAnsi="宋体" w:eastAsia="黑体" w:cs="黑体"/>
          <w:color w:val="000000"/>
          <w:sz w:val="32"/>
          <w:szCs w:val="32"/>
          <w:lang w:val="en-US" w:eastAsia="zh-CN"/>
        </w:rPr>
        <w:t>5-5</w:t>
      </w:r>
      <w:bookmarkStart w:id="0" w:name="_GoBack"/>
      <w:bookmarkEnd w:id="0"/>
    </w:p>
    <w:p>
      <w:pPr>
        <w:spacing w:line="580" w:lineRule="exact"/>
        <w:ind w:left="0"/>
        <w:jc w:val="center"/>
        <w:rPr>
          <w:rFonts w:hint="eastAsia" w:ascii="黑体" w:hAnsi="黑体" w:eastAsia="黑体" w:cs="黑体"/>
          <w:snapToGrid w:val="0"/>
          <w:sz w:val="32"/>
        </w:rPr>
      </w:pPr>
      <w:r>
        <w:rPr>
          <w:rFonts w:hint="eastAsia" w:ascii="方正小标宋简体" w:hAnsi="方正小标宋简体" w:eastAsia="方正小标宋简体" w:cs="方正小标宋简体"/>
          <w:color w:val="000000"/>
          <w:sz w:val="44"/>
          <w:szCs w:val="44"/>
        </w:rPr>
        <w:t>市属事业单位领导班子民主测评表</w:t>
      </w:r>
    </w:p>
    <w:tbl>
      <w:tblPr>
        <w:tblStyle w:val="3"/>
        <w:tblW w:w="1417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29"/>
        <w:gridCol w:w="514"/>
        <w:gridCol w:w="514"/>
        <w:gridCol w:w="514"/>
        <w:gridCol w:w="514"/>
        <w:gridCol w:w="514"/>
        <w:gridCol w:w="514"/>
        <w:gridCol w:w="514"/>
        <w:gridCol w:w="514"/>
        <w:gridCol w:w="514"/>
        <w:gridCol w:w="514"/>
        <w:gridCol w:w="514"/>
        <w:gridCol w:w="514"/>
        <w:gridCol w:w="594"/>
        <w:gridCol w:w="594"/>
        <w:gridCol w:w="594"/>
        <w:gridCol w:w="594"/>
        <w:gridCol w:w="525"/>
        <w:gridCol w:w="525"/>
        <w:gridCol w:w="525"/>
        <w:gridCol w:w="525"/>
        <w:gridCol w:w="525"/>
        <w:gridCol w:w="525"/>
        <w:gridCol w:w="525"/>
        <w:gridCol w:w="5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jc w:val="center"/>
        </w:trPr>
        <w:tc>
          <w:tcPr>
            <w:tcW w:w="1429" w:type="dxa"/>
            <w:vMerge w:val="restart"/>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评价</w:t>
            </w:r>
            <w:r>
              <w:rPr>
                <w:rFonts w:hint="eastAsia" w:ascii="黑体" w:hAnsi="宋体" w:eastAsia="黑体" w:cs="黑体"/>
                <w:color w:val="000000"/>
                <w:sz w:val="28"/>
                <w:szCs w:val="28"/>
              </w:rPr>
              <w:br w:type="textWrapping"/>
            </w:r>
            <w:r>
              <w:rPr>
                <w:rFonts w:hint="eastAsia" w:ascii="黑体" w:hAnsi="宋体" w:eastAsia="黑体" w:cs="黑体"/>
                <w:color w:val="000000"/>
                <w:sz w:val="28"/>
                <w:szCs w:val="28"/>
              </w:rPr>
              <w:t>要点</w:t>
            </w:r>
          </w:p>
        </w:tc>
        <w:tc>
          <w:tcPr>
            <w:tcW w:w="2056" w:type="dxa"/>
            <w:gridSpan w:val="4"/>
            <w:vMerge w:val="restart"/>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总体评价</w:t>
            </w:r>
          </w:p>
        </w:tc>
        <w:tc>
          <w:tcPr>
            <w:tcW w:w="2056" w:type="dxa"/>
            <w:gridSpan w:val="4"/>
            <w:tcMar>
              <w:top w:w="15" w:type="dxa"/>
              <w:left w:w="15" w:type="dxa"/>
              <w:right w:w="15" w:type="dxa"/>
            </w:tcMar>
            <w:vAlign w:val="center"/>
          </w:tcPr>
          <w:p>
            <w:pPr>
              <w:widowControl/>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政治思想建设</w:t>
            </w:r>
          </w:p>
        </w:tc>
        <w:tc>
          <w:tcPr>
            <w:tcW w:w="2056" w:type="dxa"/>
            <w:gridSpan w:val="4"/>
            <w:tcMar>
              <w:top w:w="15" w:type="dxa"/>
              <w:left w:w="15" w:type="dxa"/>
              <w:right w:w="15" w:type="dxa"/>
            </w:tcMar>
            <w:vAlign w:val="center"/>
          </w:tcPr>
          <w:p>
            <w:pPr>
              <w:widowControl/>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领导能力</w:t>
            </w:r>
          </w:p>
        </w:tc>
        <w:tc>
          <w:tcPr>
            <w:tcW w:w="2376" w:type="dxa"/>
            <w:gridSpan w:val="4"/>
            <w:tcMar>
              <w:top w:w="15" w:type="dxa"/>
              <w:left w:w="15" w:type="dxa"/>
              <w:right w:w="15" w:type="dxa"/>
            </w:tcMar>
            <w:vAlign w:val="center"/>
          </w:tcPr>
          <w:p>
            <w:pPr>
              <w:widowControl/>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工作实绩</w:t>
            </w:r>
          </w:p>
        </w:tc>
        <w:tc>
          <w:tcPr>
            <w:tcW w:w="2100" w:type="dxa"/>
            <w:gridSpan w:val="4"/>
            <w:tcMar>
              <w:top w:w="15" w:type="dxa"/>
              <w:left w:w="15" w:type="dxa"/>
              <w:right w:w="15" w:type="dxa"/>
            </w:tcMar>
            <w:vAlign w:val="center"/>
          </w:tcPr>
          <w:p>
            <w:pPr>
              <w:widowControl/>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党风廉政建设</w:t>
            </w:r>
          </w:p>
        </w:tc>
        <w:tc>
          <w:tcPr>
            <w:tcW w:w="2100" w:type="dxa"/>
            <w:gridSpan w:val="4"/>
            <w:tcMar>
              <w:top w:w="15" w:type="dxa"/>
              <w:left w:w="15" w:type="dxa"/>
              <w:right w:w="15" w:type="dxa"/>
            </w:tcMar>
            <w:vAlign w:val="center"/>
          </w:tcPr>
          <w:p>
            <w:pPr>
              <w:widowControl/>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作风建设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8" w:hRule="atLeast"/>
          <w:jc w:val="center"/>
        </w:trPr>
        <w:tc>
          <w:tcPr>
            <w:tcW w:w="1429" w:type="dxa"/>
            <w:vMerge w:val="continue"/>
            <w:tcMar>
              <w:top w:w="15" w:type="dxa"/>
              <w:left w:w="15" w:type="dxa"/>
              <w:right w:w="15" w:type="dxa"/>
            </w:tcMar>
            <w:vAlign w:val="center"/>
          </w:tcPr>
          <w:p>
            <w:pPr>
              <w:jc w:val="center"/>
              <w:rPr>
                <w:rFonts w:hint="eastAsia" w:ascii="黑体" w:hAnsi="宋体" w:eastAsia="黑体" w:cs="黑体"/>
                <w:color w:val="000000"/>
                <w:sz w:val="28"/>
                <w:szCs w:val="28"/>
              </w:rPr>
            </w:pPr>
          </w:p>
        </w:tc>
        <w:tc>
          <w:tcPr>
            <w:tcW w:w="2056" w:type="dxa"/>
            <w:gridSpan w:val="4"/>
            <w:vMerge w:val="continue"/>
            <w:tcMar>
              <w:top w:w="15" w:type="dxa"/>
              <w:left w:w="15" w:type="dxa"/>
              <w:right w:w="15" w:type="dxa"/>
            </w:tcMar>
            <w:vAlign w:val="center"/>
          </w:tcPr>
          <w:p>
            <w:pPr>
              <w:jc w:val="center"/>
              <w:rPr>
                <w:rFonts w:hint="eastAsia" w:ascii="黑体" w:hAnsi="宋体" w:eastAsia="黑体" w:cs="黑体"/>
                <w:color w:val="000000"/>
                <w:sz w:val="28"/>
                <w:szCs w:val="28"/>
              </w:rPr>
            </w:pPr>
          </w:p>
        </w:tc>
        <w:tc>
          <w:tcPr>
            <w:tcW w:w="2056" w:type="dxa"/>
            <w:gridSpan w:val="4"/>
            <w:tcMar>
              <w:top w:w="15" w:type="dxa"/>
              <w:left w:w="15" w:type="dxa"/>
              <w:right w:w="15" w:type="dxa"/>
            </w:tcMar>
            <w:vAlign w:val="top"/>
          </w:tcPr>
          <w:p>
            <w:pPr>
              <w:widowControl/>
              <w:spacing w:line="200" w:lineRule="exact"/>
              <w:ind w:left="0"/>
              <w:textAlignment w:val="center"/>
              <w:rPr>
                <w:rFonts w:ascii="仿宋" w:hAnsi="仿宋" w:eastAsia="仿宋" w:cs="仿宋"/>
                <w:color w:val="000000"/>
                <w:sz w:val="16"/>
                <w:szCs w:val="16"/>
              </w:rPr>
            </w:pPr>
            <w:r>
              <w:rPr>
                <w:rFonts w:hint="eastAsia" w:ascii="仿宋" w:hAnsi="仿宋" w:eastAsia="仿宋" w:cs="仿宋"/>
                <w:color w:val="000000"/>
                <w:sz w:val="16"/>
                <w:szCs w:val="16"/>
              </w:rPr>
              <w:t>深入贯彻习近平新时代中国特色社会主义思想和党的十九大及十九届二中、三中、四中</w:t>
            </w:r>
            <w:r>
              <w:rPr>
                <w:rFonts w:hint="eastAsia" w:ascii="仿宋" w:hAnsi="仿宋" w:eastAsia="仿宋" w:cs="仿宋"/>
                <w:color w:val="000000"/>
                <w:sz w:val="16"/>
                <w:szCs w:val="16"/>
                <w:lang w:eastAsia="zh-CN"/>
              </w:rPr>
              <w:t>、</w:t>
            </w:r>
            <w:r>
              <w:rPr>
                <w:rFonts w:hint="eastAsia" w:ascii="仿宋" w:hAnsi="仿宋" w:eastAsia="仿宋" w:cs="仿宋"/>
                <w:color w:val="000000"/>
                <w:sz w:val="16"/>
                <w:szCs w:val="16"/>
                <w:lang w:val="en-US" w:eastAsia="zh-CN"/>
              </w:rPr>
              <w:t>五中</w:t>
            </w:r>
            <w:r>
              <w:rPr>
                <w:rFonts w:hint="eastAsia" w:ascii="仿宋" w:hAnsi="仿宋" w:eastAsia="仿宋" w:cs="仿宋"/>
                <w:color w:val="000000"/>
                <w:sz w:val="16"/>
                <w:szCs w:val="16"/>
              </w:rPr>
              <w:t>全会精神，全面落实习近平总书记对甘肃重要讲话和指示精神，带头贯彻党中央重大决策部署；坚定理想信念，不忘初心、牢记使命，增强“四个意识”、坚定“四个自信”、做到“两个维护”；坚持民主集中制，发现和解决自身问题，营造风清气正政治生态；践行新时代党的组织路线，贯彻新时期好干部标准，树立正</w:t>
            </w:r>
            <w:r>
              <w:rPr>
                <w:rFonts w:hint="eastAsia" w:ascii="仿宋" w:hAnsi="仿宋" w:eastAsia="仿宋" w:cs="仿宋"/>
                <w:color w:val="000000"/>
                <w:spacing w:val="-6"/>
                <w:sz w:val="16"/>
                <w:szCs w:val="16"/>
              </w:rPr>
              <w:t>确选人用人导向等方面的情况。</w:t>
            </w:r>
          </w:p>
        </w:tc>
        <w:tc>
          <w:tcPr>
            <w:tcW w:w="2056" w:type="dxa"/>
            <w:gridSpan w:val="4"/>
            <w:tcMar>
              <w:top w:w="15" w:type="dxa"/>
              <w:left w:w="15" w:type="dxa"/>
              <w:right w:w="15" w:type="dxa"/>
            </w:tcMar>
            <w:vAlign w:val="top"/>
          </w:tcPr>
          <w:p>
            <w:pPr>
              <w:widowControl/>
              <w:spacing w:line="200" w:lineRule="exact"/>
              <w:ind w:left="0"/>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领导班子适应新时代要求、落实党中央决策部署、</w:t>
            </w:r>
            <w:r>
              <w:rPr>
                <w:rFonts w:hint="eastAsia" w:ascii="仿宋" w:hAnsi="仿宋" w:eastAsia="仿宋" w:cs="仿宋"/>
                <w:color w:val="000000"/>
                <w:sz w:val="16"/>
                <w:szCs w:val="16"/>
                <w:lang w:val="en-US" w:eastAsia="zh-CN"/>
              </w:rPr>
              <w:t>提高制度执行力和治理能力、</w:t>
            </w:r>
            <w:r>
              <w:rPr>
                <w:rFonts w:hint="eastAsia" w:ascii="仿宋" w:hAnsi="仿宋" w:eastAsia="仿宋" w:cs="仿宋"/>
                <w:color w:val="000000"/>
                <w:sz w:val="16"/>
                <w:szCs w:val="16"/>
              </w:rPr>
              <w:t>完成市委市政府加快发展目标任务的能力，重点了解学习本领、政治领导本领、改革创新本领、科学发展本领、依法执政本领、群众工作本领、狠抓落实本领、驾驭风险本领，突出评价推动事业发展的领导能力。</w:t>
            </w:r>
          </w:p>
        </w:tc>
        <w:tc>
          <w:tcPr>
            <w:tcW w:w="2376" w:type="dxa"/>
            <w:gridSpan w:val="4"/>
            <w:tcMar>
              <w:top w:w="15" w:type="dxa"/>
              <w:left w:w="15" w:type="dxa"/>
              <w:right w:w="15" w:type="dxa"/>
            </w:tcMar>
            <w:vAlign w:val="top"/>
          </w:tcPr>
          <w:p>
            <w:pPr>
              <w:widowControl/>
              <w:spacing w:line="200" w:lineRule="exact"/>
              <w:ind w:left="0"/>
              <w:textAlignment w:val="center"/>
              <w:rPr>
                <w:rFonts w:hint="eastAsia" w:ascii="仿宋" w:hAnsi="仿宋" w:eastAsia="仿宋" w:cs="仿宋"/>
                <w:color w:val="000000"/>
                <w:sz w:val="15"/>
                <w:szCs w:val="15"/>
              </w:rPr>
            </w:pPr>
            <w:r>
              <w:rPr>
                <w:rFonts w:hint="eastAsia" w:ascii="仿宋" w:hAnsi="仿宋" w:eastAsia="仿宋" w:cs="仿宋"/>
                <w:color w:val="000000"/>
                <w:sz w:val="15"/>
                <w:szCs w:val="15"/>
              </w:rPr>
              <w:t>贯彻落实党中央决策部署、省委省政府工作安排以及市委市政府中心工作，特别是落实市委八届十次</w:t>
            </w:r>
            <w:r>
              <w:rPr>
                <w:rFonts w:hint="eastAsia" w:ascii="仿宋" w:hAnsi="仿宋" w:eastAsia="仿宋" w:cs="仿宋"/>
                <w:color w:val="000000"/>
                <w:sz w:val="15"/>
                <w:szCs w:val="15"/>
                <w:lang w:eastAsia="zh-CN"/>
              </w:rPr>
              <w:t>、</w:t>
            </w:r>
            <w:r>
              <w:rPr>
                <w:rFonts w:hint="eastAsia" w:ascii="仿宋" w:hAnsi="仿宋" w:eastAsia="仿宋" w:cs="仿宋"/>
                <w:color w:val="000000"/>
                <w:sz w:val="15"/>
                <w:szCs w:val="15"/>
                <w:lang w:val="en-US" w:eastAsia="zh-CN"/>
              </w:rPr>
              <w:t>十一次、十二次</w:t>
            </w:r>
            <w:r>
              <w:rPr>
                <w:rFonts w:hint="eastAsia" w:ascii="仿宋" w:hAnsi="仿宋" w:eastAsia="仿宋" w:cs="仿宋"/>
                <w:color w:val="000000"/>
                <w:sz w:val="15"/>
                <w:szCs w:val="15"/>
              </w:rPr>
              <w:t xml:space="preserve">全会精神，推动本单位强化管理、优化服务、加快发展的实际成效。教育单位重点评价学校管理和教育教学质量等内容。科研单位重点评价科技成果产出和转化、支撑产业发展等内容。宣传文化单位重点评价规范管理、业务开展等内容。医疗卫生单位重点评价医疗服务质量和安全、医疗费用控制、依法依规管理、医德医风建设等内容。其他事业单位根据行业性质和工作职能，由行业主管部门确定评价重点。    </w:t>
            </w:r>
            <w:r>
              <w:rPr>
                <w:rFonts w:hint="eastAsia" w:ascii="仿宋" w:hAnsi="仿宋" w:eastAsia="仿宋" w:cs="仿宋"/>
                <w:color w:val="000000"/>
                <w:sz w:val="15"/>
                <w:szCs w:val="15"/>
              </w:rPr>
              <w:br w:type="textWrapping"/>
            </w:r>
            <w:r>
              <w:rPr>
                <w:rFonts w:hint="eastAsia" w:ascii="仿宋" w:hAnsi="仿宋" w:eastAsia="仿宋" w:cs="仿宋"/>
                <w:color w:val="000000"/>
                <w:sz w:val="15"/>
                <w:szCs w:val="15"/>
              </w:rPr>
              <w:t>年度具体评价内容，根据市委市政府中心工作及时优化，并按照市属事业单位承担的年度重点任务进行差异化、有针对性地调整。</w:t>
            </w:r>
          </w:p>
        </w:tc>
        <w:tc>
          <w:tcPr>
            <w:tcW w:w="2100" w:type="dxa"/>
            <w:gridSpan w:val="4"/>
            <w:tcMar>
              <w:top w:w="15" w:type="dxa"/>
              <w:left w:w="15" w:type="dxa"/>
              <w:right w:w="15" w:type="dxa"/>
            </w:tcMar>
            <w:vAlign w:val="top"/>
          </w:tcPr>
          <w:p>
            <w:pPr>
              <w:widowControl/>
              <w:spacing w:line="200" w:lineRule="exact"/>
              <w:ind w:left="0"/>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全面贯彻十九届中央纪委四次全会精神和十三届省纪委四次全会精神，一以贯之、坚定不移履行管党治党政治责任，推进政治监督，加强党风廉政建设，持之以恒正风肃纪，推进反腐败斗争，强化权力运行的制约和监督，以及公正用权、依法用权、廉洁用权等情况。</w:t>
            </w:r>
          </w:p>
        </w:tc>
        <w:tc>
          <w:tcPr>
            <w:tcW w:w="2100" w:type="dxa"/>
            <w:gridSpan w:val="4"/>
            <w:tcMar>
              <w:top w:w="15" w:type="dxa"/>
              <w:left w:w="15" w:type="dxa"/>
              <w:right w:w="15" w:type="dxa"/>
            </w:tcMar>
            <w:vAlign w:val="top"/>
          </w:tcPr>
          <w:p>
            <w:pPr>
              <w:widowControl/>
              <w:spacing w:line="200" w:lineRule="exact"/>
              <w:ind w:left="0"/>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坚持以人民为中心，贯彻党的群众路线，密切联系群众，为群众排忧解难，全心全意为人民服务的情况；结合实际落实党中央决策部署，增强人民获得感、幸福感、安全感的情况；深入改进作风，落实中央八项规定及其实施细则精神，反对“四风”特别是形式主义、官僚主义的情况；实事求是，真抓实干，察实情、出实招、办实事、求实效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2" w:hRule="atLeast"/>
          <w:jc w:val="center"/>
        </w:trPr>
        <w:tc>
          <w:tcPr>
            <w:tcW w:w="1429" w:type="dxa"/>
            <w:tcMar>
              <w:top w:w="15" w:type="dxa"/>
              <w:left w:w="15" w:type="dxa"/>
              <w:right w:w="15" w:type="dxa"/>
            </w:tcMar>
            <w:vAlign w:val="top"/>
          </w:tcPr>
          <w:p>
            <w:pPr>
              <w:widowControl/>
              <w:spacing w:line="280" w:lineRule="exact"/>
              <w:ind w:left="0"/>
              <w:jc w:val="left"/>
              <w:textAlignment w:val="top"/>
              <w:rPr>
                <w:rFonts w:hint="eastAsia" w:ascii="黑体" w:hAnsi="宋体" w:eastAsia="黑体" w:cs="黑体"/>
                <w:color w:val="000000"/>
                <w:sz w:val="22"/>
                <w:szCs w:val="22"/>
              </w:rPr>
            </w:pPr>
            <w:r>
              <w:rPr>
                <w:rFonts w:ascii="Times New Roman" w:hAnsi="Times New Roman" w:eastAsia="宋体" w:cs="Times New Roman"/>
                <w:sz w:val="22"/>
                <w:lang w:val="en-US" w:eastAsia="zh-CN" w:bidi="ar-SA"/>
              </w:rPr>
              <w:pict>
                <v:line id="直线 50" o:spid="_x0000_s1026" o:spt="20" style="position:absolute;left:0pt;margin-left:0.8pt;margin-top:0.6pt;height:57pt;width:69.75pt;z-index:251658240;mso-width-relative:page;mso-height-relative:page;" fillcolor="#FFFFFF" filled="f" o:preferrelative="t" stroked="t" coordsize="21600,21600">
                  <v:path arrowok="t"/>
                  <v:fill on="f" color2="#FFFFFF" focussize="0,0"/>
                  <v:stroke color="#000000" color2="#FFFFFF" miterlimit="2"/>
                  <v:imagedata gain="65536f" blacklevel="0f" gamma="0" o:title=""/>
                  <o:lock v:ext="edit" position="f" selection="f" grouping="f" rotation="f" cropping="f" text="f" aspectratio="f"/>
                </v:line>
              </w:pict>
            </w:r>
            <w:r>
              <w:rPr>
                <w:rFonts w:hint="eastAsia" w:ascii="黑体" w:hAnsi="宋体" w:eastAsia="黑体" w:cs="黑体"/>
                <w:color w:val="000000"/>
                <w:sz w:val="22"/>
                <w:szCs w:val="22"/>
              </w:rPr>
              <w:t xml:space="preserve">        评价</w:t>
            </w:r>
            <w:r>
              <w:rPr>
                <w:rFonts w:hint="eastAsia" w:ascii="黑体" w:hAnsi="宋体" w:eastAsia="黑体" w:cs="黑体"/>
                <w:color w:val="000000"/>
                <w:sz w:val="22"/>
                <w:szCs w:val="22"/>
              </w:rPr>
              <w:br w:type="textWrapping"/>
            </w:r>
            <w:r>
              <w:rPr>
                <w:rFonts w:hint="eastAsia" w:ascii="黑体" w:hAnsi="宋体" w:eastAsia="黑体" w:cs="黑体"/>
                <w:color w:val="000000"/>
                <w:sz w:val="22"/>
                <w:szCs w:val="22"/>
              </w:rPr>
              <w:t xml:space="preserve">        意见</w:t>
            </w:r>
            <w:r>
              <w:rPr>
                <w:rFonts w:hint="eastAsia" w:ascii="黑体" w:hAnsi="宋体" w:eastAsia="黑体" w:cs="黑体"/>
                <w:color w:val="000000"/>
                <w:sz w:val="22"/>
                <w:szCs w:val="22"/>
              </w:rPr>
              <w:br w:type="textWrapping"/>
            </w:r>
            <w:r>
              <w:rPr>
                <w:rFonts w:hint="eastAsia" w:ascii="黑体" w:hAnsi="宋体" w:eastAsia="黑体" w:cs="黑体"/>
                <w:color w:val="000000"/>
                <w:sz w:val="22"/>
                <w:szCs w:val="22"/>
              </w:rPr>
              <w:t>领导</w:t>
            </w:r>
            <w:r>
              <w:rPr>
                <w:rFonts w:hint="eastAsia" w:ascii="黑体" w:hAnsi="宋体" w:eastAsia="黑体" w:cs="黑体"/>
                <w:color w:val="000000"/>
                <w:sz w:val="22"/>
                <w:szCs w:val="22"/>
              </w:rPr>
              <w:br w:type="textWrapping"/>
            </w:r>
            <w:r>
              <w:rPr>
                <w:rFonts w:hint="eastAsia" w:ascii="黑体" w:hAnsi="宋体" w:eastAsia="黑体" w:cs="黑体"/>
                <w:color w:val="000000"/>
                <w:sz w:val="22"/>
                <w:szCs w:val="22"/>
              </w:rPr>
              <w:t>班子</w:t>
            </w:r>
          </w:p>
        </w:tc>
        <w:tc>
          <w:tcPr>
            <w:tcW w:w="51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1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1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1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1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1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1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1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1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1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1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1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9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9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9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9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25"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25"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25"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25"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25"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25"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25"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25"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 w:hRule="atLeast"/>
          <w:jc w:val="center"/>
        </w:trPr>
        <w:tc>
          <w:tcPr>
            <w:tcW w:w="1429" w:type="dxa"/>
            <w:tcMar>
              <w:top w:w="15" w:type="dxa"/>
              <w:left w:w="15" w:type="dxa"/>
              <w:right w:w="15" w:type="dxa"/>
            </w:tcMar>
            <w:vAlign w:val="center"/>
          </w:tcPr>
          <w:p>
            <w:pPr>
              <w:rPr>
                <w:rFonts w:hint="eastAsia" w:ascii="黑体" w:hAnsi="宋体" w:eastAsia="黑体" w:cs="黑体"/>
                <w:color w:val="000000"/>
                <w:sz w:val="28"/>
                <w:szCs w:val="28"/>
              </w:rPr>
            </w:pPr>
          </w:p>
        </w:tc>
        <w:tc>
          <w:tcPr>
            <w:tcW w:w="514" w:type="dxa"/>
            <w:tcMar>
              <w:top w:w="15" w:type="dxa"/>
              <w:left w:w="15" w:type="dxa"/>
              <w:right w:w="15" w:type="dxa"/>
            </w:tcMar>
            <w:vAlign w:val="center"/>
          </w:tcPr>
          <w:p>
            <w:pPr>
              <w:jc w:val="center"/>
              <w:rPr>
                <w:rFonts w:hint="eastAsia" w:ascii="黑体" w:hAnsi="宋体" w:eastAsia="黑体" w:cs="黑体"/>
                <w:color w:val="000000"/>
                <w:sz w:val="28"/>
                <w:szCs w:val="28"/>
              </w:rPr>
            </w:pPr>
          </w:p>
        </w:tc>
        <w:tc>
          <w:tcPr>
            <w:tcW w:w="514" w:type="dxa"/>
            <w:tcMar>
              <w:top w:w="15" w:type="dxa"/>
              <w:left w:w="15" w:type="dxa"/>
              <w:right w:w="15" w:type="dxa"/>
            </w:tcMar>
            <w:vAlign w:val="center"/>
          </w:tcPr>
          <w:p>
            <w:pPr>
              <w:jc w:val="center"/>
              <w:rPr>
                <w:rFonts w:hint="eastAsia" w:ascii="黑体" w:hAnsi="宋体" w:eastAsia="黑体" w:cs="黑体"/>
                <w:color w:val="000000"/>
                <w:sz w:val="28"/>
                <w:szCs w:val="28"/>
              </w:rPr>
            </w:pPr>
          </w:p>
        </w:tc>
        <w:tc>
          <w:tcPr>
            <w:tcW w:w="514" w:type="dxa"/>
            <w:tcMar>
              <w:top w:w="15" w:type="dxa"/>
              <w:left w:w="15" w:type="dxa"/>
              <w:right w:w="15" w:type="dxa"/>
            </w:tcMar>
            <w:vAlign w:val="center"/>
          </w:tcPr>
          <w:p>
            <w:pPr>
              <w:jc w:val="center"/>
              <w:rPr>
                <w:rFonts w:hint="eastAsia" w:ascii="黑体" w:hAnsi="宋体" w:eastAsia="黑体" w:cs="黑体"/>
                <w:color w:val="000000"/>
                <w:sz w:val="28"/>
                <w:szCs w:val="28"/>
              </w:rPr>
            </w:pPr>
          </w:p>
        </w:tc>
        <w:tc>
          <w:tcPr>
            <w:tcW w:w="514" w:type="dxa"/>
            <w:tcMar>
              <w:top w:w="15" w:type="dxa"/>
              <w:left w:w="15" w:type="dxa"/>
              <w:right w:w="15" w:type="dxa"/>
            </w:tcMar>
            <w:vAlign w:val="center"/>
          </w:tcPr>
          <w:p>
            <w:pPr>
              <w:jc w:val="center"/>
              <w:rPr>
                <w:rFonts w:hint="eastAsia" w:ascii="黑体" w:hAnsi="宋体" w:eastAsia="黑体" w:cs="黑体"/>
                <w:color w:val="000000"/>
                <w:sz w:val="28"/>
                <w:szCs w:val="28"/>
              </w:rPr>
            </w:pPr>
          </w:p>
        </w:tc>
        <w:tc>
          <w:tcPr>
            <w:tcW w:w="514" w:type="dxa"/>
            <w:tcMar>
              <w:top w:w="15" w:type="dxa"/>
              <w:left w:w="15" w:type="dxa"/>
              <w:right w:w="15" w:type="dxa"/>
            </w:tcMar>
            <w:vAlign w:val="center"/>
          </w:tcPr>
          <w:p>
            <w:pPr>
              <w:jc w:val="center"/>
              <w:rPr>
                <w:rFonts w:hint="eastAsia" w:ascii="楷体" w:hAnsi="楷体" w:eastAsia="楷体" w:cs="楷体"/>
                <w:b/>
                <w:color w:val="000000"/>
                <w:sz w:val="24"/>
                <w:szCs w:val="24"/>
              </w:rPr>
            </w:pPr>
          </w:p>
        </w:tc>
        <w:tc>
          <w:tcPr>
            <w:tcW w:w="514" w:type="dxa"/>
            <w:tcMar>
              <w:top w:w="15" w:type="dxa"/>
              <w:left w:w="15" w:type="dxa"/>
              <w:right w:w="15" w:type="dxa"/>
            </w:tcMar>
            <w:vAlign w:val="center"/>
          </w:tcPr>
          <w:p>
            <w:pPr>
              <w:jc w:val="center"/>
              <w:rPr>
                <w:rFonts w:hint="eastAsia" w:ascii="楷体" w:hAnsi="楷体" w:eastAsia="楷体" w:cs="楷体"/>
                <w:b/>
                <w:color w:val="000000"/>
                <w:sz w:val="24"/>
                <w:szCs w:val="24"/>
              </w:rPr>
            </w:pPr>
          </w:p>
        </w:tc>
        <w:tc>
          <w:tcPr>
            <w:tcW w:w="514" w:type="dxa"/>
            <w:tcMar>
              <w:top w:w="15" w:type="dxa"/>
              <w:left w:w="15" w:type="dxa"/>
              <w:right w:w="15" w:type="dxa"/>
            </w:tcMar>
            <w:vAlign w:val="center"/>
          </w:tcPr>
          <w:p>
            <w:pPr>
              <w:jc w:val="center"/>
              <w:rPr>
                <w:rFonts w:hint="eastAsia" w:ascii="楷体" w:hAnsi="楷体" w:eastAsia="楷体" w:cs="楷体"/>
                <w:b/>
                <w:color w:val="000000"/>
                <w:sz w:val="24"/>
                <w:szCs w:val="24"/>
              </w:rPr>
            </w:pPr>
          </w:p>
        </w:tc>
        <w:tc>
          <w:tcPr>
            <w:tcW w:w="514" w:type="dxa"/>
            <w:tcMar>
              <w:top w:w="15" w:type="dxa"/>
              <w:left w:w="15" w:type="dxa"/>
              <w:right w:w="15" w:type="dxa"/>
            </w:tcMar>
            <w:vAlign w:val="center"/>
          </w:tcPr>
          <w:p>
            <w:pPr>
              <w:jc w:val="left"/>
              <w:rPr>
                <w:rFonts w:hint="eastAsia" w:ascii="仿宋" w:hAnsi="仿宋" w:eastAsia="仿宋" w:cs="仿宋"/>
                <w:color w:val="000000"/>
                <w:sz w:val="18"/>
                <w:szCs w:val="18"/>
                <w:u w:val="single"/>
              </w:rPr>
            </w:pPr>
          </w:p>
        </w:tc>
        <w:tc>
          <w:tcPr>
            <w:tcW w:w="514" w:type="dxa"/>
            <w:tcMar>
              <w:top w:w="15" w:type="dxa"/>
              <w:left w:w="15" w:type="dxa"/>
              <w:right w:w="15" w:type="dxa"/>
            </w:tcMar>
            <w:vAlign w:val="center"/>
          </w:tcPr>
          <w:p>
            <w:pPr>
              <w:rPr>
                <w:rFonts w:hint="eastAsia" w:ascii="宋体" w:hAnsi="宋体" w:cs="宋体"/>
                <w:color w:val="000000"/>
                <w:sz w:val="24"/>
                <w:szCs w:val="24"/>
              </w:rPr>
            </w:pPr>
          </w:p>
        </w:tc>
        <w:tc>
          <w:tcPr>
            <w:tcW w:w="514" w:type="dxa"/>
            <w:tcMar>
              <w:top w:w="15" w:type="dxa"/>
              <w:left w:w="15" w:type="dxa"/>
              <w:right w:w="15" w:type="dxa"/>
            </w:tcMar>
            <w:vAlign w:val="center"/>
          </w:tcPr>
          <w:p>
            <w:pPr>
              <w:rPr>
                <w:rFonts w:hint="eastAsia" w:ascii="宋体" w:hAnsi="宋体" w:cs="宋体"/>
                <w:color w:val="000000"/>
                <w:sz w:val="24"/>
                <w:szCs w:val="24"/>
              </w:rPr>
            </w:pPr>
          </w:p>
        </w:tc>
        <w:tc>
          <w:tcPr>
            <w:tcW w:w="514" w:type="dxa"/>
            <w:tcMar>
              <w:top w:w="15" w:type="dxa"/>
              <w:left w:w="15" w:type="dxa"/>
              <w:right w:w="15" w:type="dxa"/>
            </w:tcMar>
            <w:vAlign w:val="center"/>
          </w:tcPr>
          <w:p>
            <w:pPr>
              <w:rPr>
                <w:rFonts w:hint="eastAsia" w:ascii="宋体" w:hAnsi="宋体" w:cs="宋体"/>
                <w:color w:val="000000"/>
                <w:sz w:val="24"/>
                <w:szCs w:val="24"/>
              </w:rPr>
            </w:pPr>
          </w:p>
        </w:tc>
        <w:tc>
          <w:tcPr>
            <w:tcW w:w="514" w:type="dxa"/>
            <w:tcMar>
              <w:top w:w="15" w:type="dxa"/>
              <w:left w:w="15" w:type="dxa"/>
              <w:right w:w="15" w:type="dxa"/>
            </w:tcMar>
            <w:vAlign w:val="center"/>
          </w:tcPr>
          <w:p>
            <w:pPr>
              <w:rPr>
                <w:rFonts w:hint="eastAsia" w:ascii="宋体" w:hAnsi="宋体" w:cs="宋体"/>
                <w:color w:val="000000"/>
                <w:sz w:val="24"/>
                <w:szCs w:val="24"/>
              </w:rPr>
            </w:pPr>
          </w:p>
        </w:tc>
        <w:tc>
          <w:tcPr>
            <w:tcW w:w="594" w:type="dxa"/>
            <w:tcMar>
              <w:top w:w="15" w:type="dxa"/>
              <w:left w:w="15" w:type="dxa"/>
              <w:right w:w="15" w:type="dxa"/>
            </w:tcMar>
            <w:vAlign w:val="center"/>
          </w:tcPr>
          <w:p>
            <w:pPr>
              <w:rPr>
                <w:rFonts w:hint="eastAsia" w:ascii="宋体" w:hAnsi="宋体" w:cs="宋体"/>
                <w:color w:val="000000"/>
                <w:sz w:val="24"/>
                <w:szCs w:val="24"/>
              </w:rPr>
            </w:pPr>
          </w:p>
        </w:tc>
        <w:tc>
          <w:tcPr>
            <w:tcW w:w="594" w:type="dxa"/>
            <w:tcMar>
              <w:top w:w="15" w:type="dxa"/>
              <w:left w:w="15" w:type="dxa"/>
              <w:right w:w="15" w:type="dxa"/>
            </w:tcMar>
            <w:vAlign w:val="center"/>
          </w:tcPr>
          <w:p>
            <w:pPr>
              <w:rPr>
                <w:rFonts w:hint="eastAsia" w:ascii="宋体" w:hAnsi="宋体" w:cs="宋体"/>
                <w:color w:val="000000"/>
                <w:sz w:val="24"/>
                <w:szCs w:val="24"/>
              </w:rPr>
            </w:pPr>
          </w:p>
        </w:tc>
        <w:tc>
          <w:tcPr>
            <w:tcW w:w="594" w:type="dxa"/>
            <w:tcMar>
              <w:top w:w="15" w:type="dxa"/>
              <w:left w:w="15" w:type="dxa"/>
              <w:right w:w="15" w:type="dxa"/>
            </w:tcMar>
            <w:vAlign w:val="center"/>
          </w:tcPr>
          <w:p>
            <w:pPr>
              <w:rPr>
                <w:rFonts w:hint="eastAsia" w:ascii="宋体" w:hAnsi="宋体" w:cs="宋体"/>
                <w:color w:val="000000"/>
                <w:sz w:val="24"/>
                <w:szCs w:val="24"/>
              </w:rPr>
            </w:pPr>
          </w:p>
        </w:tc>
        <w:tc>
          <w:tcPr>
            <w:tcW w:w="594" w:type="dxa"/>
            <w:tcMar>
              <w:top w:w="15" w:type="dxa"/>
              <w:left w:w="15" w:type="dxa"/>
              <w:right w:w="15" w:type="dxa"/>
            </w:tcMar>
            <w:vAlign w:val="center"/>
          </w:tcPr>
          <w:p>
            <w:pPr>
              <w:rPr>
                <w:rFonts w:hint="eastAsia" w:ascii="宋体" w:hAnsi="宋体" w:cs="宋体"/>
                <w:color w:val="000000"/>
                <w:sz w:val="24"/>
                <w:szCs w:val="24"/>
              </w:rPr>
            </w:pPr>
          </w:p>
        </w:tc>
        <w:tc>
          <w:tcPr>
            <w:tcW w:w="525" w:type="dxa"/>
            <w:tcMar>
              <w:top w:w="15" w:type="dxa"/>
              <w:left w:w="15" w:type="dxa"/>
              <w:right w:w="15" w:type="dxa"/>
            </w:tcMar>
            <w:vAlign w:val="center"/>
          </w:tcPr>
          <w:p>
            <w:pPr>
              <w:rPr>
                <w:rFonts w:hint="eastAsia" w:ascii="宋体" w:hAnsi="宋体" w:cs="宋体"/>
                <w:color w:val="000000"/>
                <w:sz w:val="24"/>
                <w:szCs w:val="24"/>
              </w:rPr>
            </w:pPr>
          </w:p>
        </w:tc>
        <w:tc>
          <w:tcPr>
            <w:tcW w:w="525" w:type="dxa"/>
            <w:tcMar>
              <w:top w:w="15" w:type="dxa"/>
              <w:left w:w="15" w:type="dxa"/>
              <w:right w:w="15" w:type="dxa"/>
            </w:tcMar>
            <w:vAlign w:val="center"/>
          </w:tcPr>
          <w:p>
            <w:pPr>
              <w:rPr>
                <w:rFonts w:hint="eastAsia" w:ascii="宋体" w:hAnsi="宋体" w:cs="宋体"/>
                <w:color w:val="000000"/>
                <w:sz w:val="24"/>
                <w:szCs w:val="24"/>
              </w:rPr>
            </w:pPr>
          </w:p>
        </w:tc>
        <w:tc>
          <w:tcPr>
            <w:tcW w:w="525" w:type="dxa"/>
            <w:tcMar>
              <w:top w:w="15" w:type="dxa"/>
              <w:left w:w="15" w:type="dxa"/>
              <w:right w:w="15" w:type="dxa"/>
            </w:tcMar>
            <w:vAlign w:val="center"/>
          </w:tcPr>
          <w:p>
            <w:pPr>
              <w:rPr>
                <w:rFonts w:hint="eastAsia" w:ascii="宋体" w:hAnsi="宋体" w:cs="宋体"/>
                <w:color w:val="000000"/>
                <w:sz w:val="24"/>
                <w:szCs w:val="24"/>
              </w:rPr>
            </w:pPr>
          </w:p>
        </w:tc>
        <w:tc>
          <w:tcPr>
            <w:tcW w:w="525" w:type="dxa"/>
            <w:tcMar>
              <w:top w:w="15" w:type="dxa"/>
              <w:left w:w="15" w:type="dxa"/>
              <w:right w:w="15" w:type="dxa"/>
            </w:tcMar>
            <w:vAlign w:val="center"/>
          </w:tcPr>
          <w:p>
            <w:pPr>
              <w:rPr>
                <w:rFonts w:hint="eastAsia" w:ascii="宋体" w:hAnsi="宋体" w:cs="宋体"/>
                <w:color w:val="000000"/>
                <w:sz w:val="24"/>
                <w:szCs w:val="24"/>
              </w:rPr>
            </w:pPr>
          </w:p>
        </w:tc>
        <w:tc>
          <w:tcPr>
            <w:tcW w:w="525" w:type="dxa"/>
            <w:tcMar>
              <w:top w:w="15" w:type="dxa"/>
              <w:left w:w="15" w:type="dxa"/>
              <w:right w:w="15" w:type="dxa"/>
            </w:tcMar>
            <w:vAlign w:val="center"/>
          </w:tcPr>
          <w:p>
            <w:pPr>
              <w:rPr>
                <w:rFonts w:hint="eastAsia" w:ascii="宋体" w:hAnsi="宋体" w:cs="宋体"/>
                <w:color w:val="000000"/>
                <w:sz w:val="24"/>
                <w:szCs w:val="24"/>
              </w:rPr>
            </w:pPr>
          </w:p>
        </w:tc>
        <w:tc>
          <w:tcPr>
            <w:tcW w:w="525" w:type="dxa"/>
            <w:tcMar>
              <w:top w:w="15" w:type="dxa"/>
              <w:left w:w="15" w:type="dxa"/>
              <w:right w:w="15" w:type="dxa"/>
            </w:tcMar>
            <w:vAlign w:val="center"/>
          </w:tcPr>
          <w:p>
            <w:pPr>
              <w:rPr>
                <w:rFonts w:hint="eastAsia" w:ascii="宋体" w:hAnsi="宋体" w:cs="宋体"/>
                <w:color w:val="000000"/>
                <w:sz w:val="24"/>
                <w:szCs w:val="24"/>
              </w:rPr>
            </w:pPr>
          </w:p>
        </w:tc>
        <w:tc>
          <w:tcPr>
            <w:tcW w:w="525" w:type="dxa"/>
            <w:tcMar>
              <w:top w:w="15" w:type="dxa"/>
              <w:left w:w="15" w:type="dxa"/>
              <w:right w:w="15" w:type="dxa"/>
            </w:tcMar>
            <w:vAlign w:val="center"/>
          </w:tcPr>
          <w:p>
            <w:pPr>
              <w:rPr>
                <w:rFonts w:hint="eastAsia" w:ascii="宋体" w:hAnsi="宋体" w:cs="宋体"/>
                <w:color w:val="000000"/>
                <w:sz w:val="24"/>
                <w:szCs w:val="24"/>
              </w:rPr>
            </w:pPr>
          </w:p>
        </w:tc>
        <w:tc>
          <w:tcPr>
            <w:tcW w:w="525" w:type="dxa"/>
            <w:tcMar>
              <w:top w:w="15" w:type="dxa"/>
              <w:left w:w="15" w:type="dxa"/>
              <w:right w:w="15" w:type="dxa"/>
            </w:tcMar>
            <w:vAlign w:val="center"/>
          </w:tcPr>
          <w:p>
            <w:pPr>
              <w:rPr>
                <w:rFonts w:hint="eastAsia" w:ascii="宋体" w:hAnsi="宋体" w:cs="宋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61" w:hRule="atLeast"/>
          <w:jc w:val="center"/>
        </w:trPr>
        <w:tc>
          <w:tcPr>
            <w:tcW w:w="1429"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备注</w:t>
            </w:r>
          </w:p>
        </w:tc>
        <w:tc>
          <w:tcPr>
            <w:tcW w:w="12744" w:type="dxa"/>
            <w:gridSpan w:val="24"/>
            <w:tcMar>
              <w:top w:w="15" w:type="dxa"/>
              <w:left w:w="15" w:type="dxa"/>
              <w:right w:w="15" w:type="dxa"/>
            </w:tcMar>
            <w:vAlign w:val="center"/>
          </w:tcPr>
          <w:p>
            <w:pPr>
              <w:widowControl/>
              <w:jc w:val="left"/>
              <w:textAlignment w:val="center"/>
              <w:rPr>
                <w:rFonts w:ascii="楷体_GB2312" w:hAnsi="宋体" w:eastAsia="楷体_GB2312" w:cs="楷体_GB2312"/>
                <w:color w:val="000000"/>
                <w:sz w:val="26"/>
                <w:szCs w:val="26"/>
              </w:rPr>
            </w:pPr>
            <w:r>
              <w:rPr>
                <w:rFonts w:hint="eastAsia" w:ascii="楷体_GB2312" w:hAnsi="宋体" w:eastAsia="楷体_GB2312" w:cs="楷体_GB2312"/>
                <w:color w:val="000000"/>
                <w:sz w:val="22"/>
                <w:szCs w:val="22"/>
              </w:rPr>
              <w:t>1.评价意见按优劣程度，依次界定为“A、B、C、D”四个档次；</w:t>
            </w:r>
            <w:r>
              <w:rPr>
                <w:rFonts w:hint="eastAsia" w:ascii="楷体_GB2312" w:hAnsi="宋体" w:eastAsia="楷体_GB2312" w:cs="楷体_GB2312"/>
                <w:color w:val="000000"/>
                <w:sz w:val="22"/>
                <w:szCs w:val="22"/>
              </w:rPr>
              <w:br w:type="textWrapping"/>
            </w:r>
            <w:r>
              <w:rPr>
                <w:rFonts w:hint="eastAsia" w:ascii="楷体_GB2312" w:hAnsi="宋体" w:eastAsia="楷体_GB2312" w:cs="楷体_GB2312"/>
                <w:color w:val="000000"/>
                <w:sz w:val="22"/>
                <w:szCs w:val="22"/>
              </w:rPr>
              <w:t>2.请在相应档次的方框内划“√”，只能选择一个档次，多划无效，不划视为弃权；</w:t>
            </w:r>
            <w:r>
              <w:rPr>
                <w:rFonts w:hint="eastAsia" w:ascii="楷体_GB2312" w:hAnsi="宋体" w:eastAsia="楷体_GB2312" w:cs="楷体_GB2312"/>
                <w:color w:val="000000"/>
                <w:sz w:val="22"/>
                <w:szCs w:val="22"/>
              </w:rPr>
              <w:br w:type="textWrapping"/>
            </w:r>
            <w:r>
              <w:rPr>
                <w:rFonts w:hint="eastAsia" w:ascii="楷体_GB2312" w:hAnsi="宋体" w:eastAsia="楷体_GB2312" w:cs="楷体_GB2312"/>
                <w:color w:val="000000"/>
                <w:sz w:val="22"/>
                <w:szCs w:val="22"/>
              </w:rPr>
              <w:t>3.民主测评得分按“总体评价”栏的得票情况计算，</w:t>
            </w:r>
            <w:r>
              <w:rPr>
                <w:rFonts w:hint="eastAsia" w:ascii="楷体_GB2312" w:hAnsi="宋体" w:eastAsia="楷体_GB2312" w:cs="楷体_GB2312"/>
                <w:color w:val="000000"/>
                <w:spacing w:val="-6"/>
                <w:sz w:val="22"/>
                <w:szCs w:val="22"/>
              </w:rPr>
              <w:t>公式为：（“A”票数×1.0＋“B”票数×</w:t>
            </w:r>
            <w:r>
              <w:rPr>
                <w:rFonts w:hint="eastAsia" w:ascii="楷体_GB2312" w:hAnsi="宋体" w:eastAsia="楷体_GB2312" w:cs="楷体_GB2312"/>
                <w:color w:val="000000"/>
                <w:spacing w:val="-6"/>
                <w:sz w:val="22"/>
                <w:szCs w:val="22"/>
                <w:lang w:val="en-US" w:eastAsia="zh-CN"/>
              </w:rPr>
              <w:t>0.9</w:t>
            </w:r>
            <w:r>
              <w:rPr>
                <w:rFonts w:hint="eastAsia" w:ascii="楷体_GB2312" w:hAnsi="宋体" w:eastAsia="楷体_GB2312" w:cs="楷体_GB2312"/>
                <w:color w:val="000000"/>
                <w:spacing w:val="-6"/>
                <w:sz w:val="22"/>
                <w:szCs w:val="22"/>
              </w:rPr>
              <w:t>＋“C”票数×</w:t>
            </w:r>
            <w:r>
              <w:rPr>
                <w:rFonts w:hint="eastAsia" w:ascii="楷体_GB2312" w:hAnsi="宋体" w:eastAsia="楷体_GB2312" w:cs="楷体_GB2312"/>
                <w:color w:val="000000"/>
                <w:spacing w:val="-6"/>
                <w:sz w:val="22"/>
                <w:szCs w:val="22"/>
                <w:lang w:val="en-US" w:eastAsia="zh-CN"/>
              </w:rPr>
              <w:t>0.75</w:t>
            </w:r>
            <w:r>
              <w:rPr>
                <w:rFonts w:hint="eastAsia" w:ascii="楷体_GB2312" w:hAnsi="宋体" w:eastAsia="楷体_GB2312" w:cs="楷体_GB2312"/>
                <w:color w:val="000000"/>
                <w:spacing w:val="-6"/>
                <w:sz w:val="22"/>
                <w:szCs w:val="22"/>
              </w:rPr>
              <w:t>＋“D”票数×</w:t>
            </w:r>
            <w:r>
              <w:rPr>
                <w:rFonts w:hint="eastAsia" w:ascii="楷体_GB2312" w:hAnsi="宋体" w:eastAsia="楷体_GB2312" w:cs="楷体_GB2312"/>
                <w:color w:val="000000"/>
                <w:spacing w:val="-6"/>
                <w:sz w:val="22"/>
                <w:szCs w:val="22"/>
                <w:lang w:val="en-US" w:eastAsia="zh-CN"/>
              </w:rPr>
              <w:t>0.5</w:t>
            </w:r>
            <w:r>
              <w:rPr>
                <w:rFonts w:hint="eastAsia" w:ascii="楷体_GB2312" w:hAnsi="宋体" w:eastAsia="楷体_GB2312" w:cs="楷体_GB2312"/>
                <w:color w:val="000000"/>
                <w:spacing w:val="-6"/>
                <w:sz w:val="22"/>
                <w:szCs w:val="22"/>
              </w:rPr>
              <w:t>）÷测评人数×100。</w:t>
            </w:r>
          </w:p>
        </w:tc>
      </w:tr>
    </w:tbl>
    <w:p>
      <w:pPr>
        <w:widowControl w:val="0"/>
        <w:wordWrap/>
        <w:adjustRightInd/>
        <w:snapToGrid/>
        <w:spacing w:before="0" w:after="0" w:line="40" w:lineRule="exact"/>
        <w:ind w:left="0" w:leftChars="0" w:right="0" w:firstLine="0" w:firstLineChars="0"/>
        <w:jc w:val="both"/>
        <w:textAlignment w:val="bottom"/>
        <w:outlineLvl w:val="9"/>
      </w:pPr>
    </w:p>
    <w:sectPr>
      <w:pgSz w:w="16781" w:h="11849" w:orient="landscape"/>
      <w:pgMar w:top="1417" w:right="1417" w:bottom="1417" w:left="1417" w:header="720" w:footer="720" w:gutter="0"/>
      <w:cols w:space="720" w:num="1"/>
      <w:docGrid w:linePitch="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bordersDoNotSurroundHeader w:val="1"/>
  <w:bordersDoNotSurroundFooter w:val="1"/>
  <w:documentProtection w:enforcement="0"/>
  <w:defaultTabStop w:val="50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E8143F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5" w:lineRule="atLeast"/>
      <w:ind w:left="1"/>
      <w:jc w:val="both"/>
      <w:textAlignment w:val="bottom"/>
    </w:pPr>
    <w:rPr>
      <w:rFonts w:ascii="Times New Roman" w:hAnsi="Times New Roman" w:eastAsia="宋体" w:cs="Times New Roman"/>
      <w:lang w:val="en-US" w:eastAsia="zh-CN" w:bidi="ar-SA"/>
    </w:rPr>
  </w:style>
  <w:style w:type="character" w:default="1" w:styleId="4">
    <w:name w:val="Default Paragraph Font"/>
    <w:unhideWhenUsed/>
    <w:qFormat/>
    <w:uiPriority w:val="0"/>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spacing w:line="240" w:lineRule="atLeast"/>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2020-10-26T16:03:00Z</dcterms:created>
  <dc:creator>Administrator</dc:creator>
  <cp:lastModifiedBy>Administrator</cp:lastModifiedBy>
  <dcterms:modified xsi:type="dcterms:W3CDTF">2021-01-15T15:54:02Z</dcterms:modified>
  <dc:title>金昌市市管领导班子和领导干部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