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left="0"/>
        <w:rPr>
          <w:rFonts w:hint="default" w:ascii="黑体" w:hAnsi="宋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>附件</w:t>
      </w:r>
      <w:r>
        <w:rPr>
          <w:rFonts w:hint="eastAsia" w:ascii="黑体" w:hAnsi="宋体" w:eastAsia="黑体" w:cs="黑体"/>
          <w:color w:val="000000"/>
          <w:sz w:val="32"/>
          <w:szCs w:val="32"/>
          <w:lang w:val="en-US" w:eastAsia="zh-CN"/>
        </w:rPr>
        <w:t>7-7</w:t>
      </w:r>
      <w:bookmarkStart w:id="0" w:name="_GoBack"/>
      <w:bookmarkEnd w:id="0"/>
    </w:p>
    <w:p>
      <w:pPr>
        <w:spacing w:line="600" w:lineRule="exact"/>
        <w:ind w:left="0"/>
        <w:jc w:val="center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市属企业领导班子年度考核上级评价表</w:t>
      </w:r>
    </w:p>
    <w:tbl>
      <w:tblPr>
        <w:tblStyle w:val="3"/>
        <w:tblW w:w="14688" w:type="dxa"/>
        <w:tblInd w:w="-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40"/>
        <w:gridCol w:w="672"/>
        <w:gridCol w:w="672"/>
        <w:gridCol w:w="672"/>
        <w:gridCol w:w="672"/>
        <w:gridCol w:w="672"/>
        <w:gridCol w:w="672"/>
        <w:gridCol w:w="672"/>
        <w:gridCol w:w="672"/>
        <w:gridCol w:w="672"/>
        <w:gridCol w:w="672"/>
        <w:gridCol w:w="672"/>
        <w:gridCol w:w="672"/>
        <w:gridCol w:w="672"/>
        <w:gridCol w:w="672"/>
        <w:gridCol w:w="672"/>
        <w:gridCol w:w="672"/>
        <w:gridCol w:w="624"/>
        <w:gridCol w:w="624"/>
        <w:gridCol w:w="624"/>
        <w:gridCol w:w="6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144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评价</w:t>
            </w: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标准</w:t>
            </w:r>
          </w:p>
        </w:tc>
        <w:tc>
          <w:tcPr>
            <w:tcW w:w="2688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总体评价</w:t>
            </w:r>
          </w:p>
        </w:tc>
        <w:tc>
          <w:tcPr>
            <w:tcW w:w="26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6"/>
                <w:szCs w:val="26"/>
              </w:rPr>
            </w:pPr>
            <w:r>
              <w:rPr>
                <w:rFonts w:hint="eastAsia" w:ascii="黑体" w:hAnsi="宋体" w:eastAsia="黑体" w:cs="黑体"/>
                <w:color w:val="000000"/>
                <w:sz w:val="26"/>
                <w:szCs w:val="26"/>
              </w:rPr>
              <w:t>政治思想建设</w:t>
            </w:r>
          </w:p>
        </w:tc>
        <w:tc>
          <w:tcPr>
            <w:tcW w:w="26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6"/>
                <w:szCs w:val="26"/>
              </w:rPr>
            </w:pPr>
            <w:r>
              <w:rPr>
                <w:rFonts w:hint="eastAsia" w:ascii="黑体" w:hAnsi="宋体" w:eastAsia="黑体" w:cs="黑体"/>
                <w:color w:val="000000"/>
                <w:sz w:val="26"/>
                <w:szCs w:val="26"/>
              </w:rPr>
              <w:t>领导水平</w:t>
            </w:r>
          </w:p>
        </w:tc>
        <w:tc>
          <w:tcPr>
            <w:tcW w:w="26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6"/>
                <w:szCs w:val="26"/>
              </w:rPr>
            </w:pPr>
            <w:r>
              <w:rPr>
                <w:rFonts w:hint="eastAsia" w:ascii="黑体" w:hAnsi="宋体" w:eastAsia="黑体" w:cs="黑体"/>
                <w:color w:val="000000"/>
                <w:sz w:val="26"/>
                <w:szCs w:val="26"/>
              </w:rPr>
              <w:t>工作实绩</w:t>
            </w:r>
          </w:p>
        </w:tc>
        <w:tc>
          <w:tcPr>
            <w:tcW w:w="24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6"/>
                <w:szCs w:val="26"/>
              </w:rPr>
            </w:pPr>
            <w:r>
              <w:rPr>
                <w:rFonts w:hint="eastAsia" w:ascii="黑体" w:hAnsi="宋体" w:eastAsia="黑体" w:cs="黑体"/>
                <w:color w:val="000000"/>
                <w:sz w:val="26"/>
                <w:szCs w:val="26"/>
              </w:rPr>
              <w:t>反腐倡廉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7" w:hRule="atLeast"/>
        </w:trPr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2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26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spacing w:line="220" w:lineRule="exact"/>
              <w:ind w:left="0"/>
              <w:textAlignment w:val="center"/>
              <w:rPr>
                <w:rFonts w:ascii="仿宋" w:hAnsi="仿宋" w:eastAsia="仿宋" w:cs="仿宋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  <w:t>坚决拥护并认真贯彻执行党的路线方针政策，具有高度的政治鉴别力和敏锐性，能够始终坚持正确的政治立场；能够深入贯彻习近平新时代中国特色社会主义思想和党的十九大</w:t>
            </w: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lang w:val="en-US" w:eastAsia="zh-CN"/>
              </w:rPr>
              <w:t>及</w:t>
            </w: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  <w:t>十九届二中、三中</w:t>
            </w: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  <w:t>四中</w:t>
            </w: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lang w:val="en-US" w:eastAsia="zh-CN"/>
              </w:rPr>
              <w:t>五中</w:t>
            </w: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  <w:t>全会精神，全面落实习近平总书记对甘肃重要讲话和指示精神；“三重一大”事项都经过班子集体讨论，班子成员团结合作，自觉维护并坚决执行集体决议，班子凝聚力和战斗力强。</w:t>
            </w:r>
          </w:p>
        </w:tc>
        <w:tc>
          <w:tcPr>
            <w:tcW w:w="26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spacing w:line="220" w:lineRule="exact"/>
              <w:ind w:left="0"/>
              <w:textAlignment w:val="center"/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  <w:t>严格按照法定的职责权限和程序履行职责，能够熟练运用与工作相关的法律法规和制度办法，法制意识强；主动加强调查研究，民主决策、科学决策、依法决策水平较高；对于突发事件能够冷静应对并迅速作出决策；有强烈的进取精神，能够结合实际提出开创性的工作方法和思路，创新实效突出；严格遵照《干部任用条例》规定的原则、条件、程序和纪律选拔任用干部。</w:t>
            </w:r>
          </w:p>
        </w:tc>
        <w:tc>
          <w:tcPr>
            <w:tcW w:w="26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spacing w:line="220" w:lineRule="exact"/>
              <w:ind w:left="0"/>
              <w:textAlignment w:val="center"/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  <w:t>突出国有资本的价值贡献，加强对提高质量效益、服务党委政府战略、加快创新驱动发展、深化供给侧结构性改革等方面的考量。对主业处于充分竞争行业和领域的商业一类企业，重点考量经济效益、资本回报水平、市场竞争能力等情况。对主要承担重大专项任务的商业二类企业，重点考量服务全市经济发展战略、保障全市经济运行、发展前瞻性战略性产业，以及完成重大专项任务等情况。</w:t>
            </w: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lang w:val="en-US" w:eastAsia="zh-CN"/>
              </w:rPr>
              <w:t>对非营利性的公益类企业，</w:t>
            </w: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  <w:t>重点考量</w:t>
            </w: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lang w:val="en-US" w:eastAsia="zh-CN"/>
              </w:rPr>
              <w:t>核产品服务质量、成本控制、营运效率和保障能力等情况。</w:t>
            </w:r>
          </w:p>
        </w:tc>
        <w:tc>
          <w:tcPr>
            <w:tcW w:w="24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spacing w:line="220" w:lineRule="exact"/>
              <w:ind w:left="0"/>
              <w:textAlignment w:val="center"/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  <w:t>能够严格落实中央八项规定及其实施细则精神，坚决反对“四风，办事规范，主动接受干部群众监督；能够严格按照要求对党风廉政建设情况进行监督检查，经常性开展反腐倡廉宣传教育，积极构建惩治和预防腐败体系，干部职工廉政意识强，年内未发生违纪违法案件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1" w:hRule="atLeast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spacing w:line="280" w:lineRule="exact"/>
              <w:ind w:left="0"/>
              <w:jc w:val="left"/>
              <w:textAlignment w:val="top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  <w:t xml:space="preserve">        评价</w:t>
            </w: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  <w:t xml:space="preserve">        意见</w:t>
            </w: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  <w:t>领导</w:t>
            </w: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  <w:t>班子</w:t>
            </w:r>
          </w:p>
        </w:tc>
        <w:tc>
          <w:tcPr>
            <w:tcW w:w="6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A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B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C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D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A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B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C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D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A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B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C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D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A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B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C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D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A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B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C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0" w:hRule="atLeast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备注</w:t>
            </w:r>
          </w:p>
        </w:tc>
        <w:tc>
          <w:tcPr>
            <w:tcW w:w="13248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ind w:left="0"/>
              <w:jc w:val="left"/>
              <w:textAlignment w:val="center"/>
              <w:rPr>
                <w:rFonts w:hint="eastAsia" w:ascii="楷体_GB2312" w:hAnsi="宋体" w:eastAsia="楷体_GB2312" w:cs="楷体_GB2312"/>
                <w:color w:val="000000"/>
                <w:spacing w:val="-6"/>
                <w:sz w:val="22"/>
                <w:szCs w:val="22"/>
              </w:rPr>
            </w:pP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t>1.市属企业领导班子由市委、市人大常委会、市政府、市政协主要领导以及市委常委、市政府副市长进行评价；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t>2.评价意见按优劣程度，依次界定为“A、B、C、D”四个档次；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t>3.请在相应档次的方框内划“√”，只能选择一个档次，多划无效，不划视为弃权；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t>4.</w:t>
            </w:r>
            <w:r>
              <w:rPr>
                <w:rFonts w:hint="eastAsia" w:ascii="楷体_GB2312" w:hAnsi="宋体" w:eastAsia="楷体_GB2312" w:cs="楷体_GB2312"/>
                <w:color w:val="000000"/>
                <w:spacing w:val="-6"/>
                <w:sz w:val="22"/>
                <w:szCs w:val="22"/>
              </w:rPr>
              <w:t>总体评价中，评价为A等次的领导班子，不超过评价对象的</w:t>
            </w:r>
            <w:r>
              <w:rPr>
                <w:rFonts w:hint="eastAsia" w:ascii="楷体_GB2312" w:hAnsi="宋体" w:eastAsia="楷体_GB2312" w:cs="楷体_GB2312"/>
                <w:color w:val="000000"/>
                <w:spacing w:val="-6"/>
                <w:sz w:val="22"/>
                <w:szCs w:val="22"/>
                <w:lang w:val="en-US" w:eastAsia="zh-CN"/>
              </w:rPr>
              <w:t>20%</w:t>
            </w:r>
            <w:r>
              <w:rPr>
                <w:rFonts w:hint="eastAsia" w:ascii="楷体_GB2312" w:hAnsi="宋体" w:eastAsia="楷体_GB2312" w:cs="楷体_GB2312"/>
                <w:color w:val="000000"/>
                <w:spacing w:val="-6"/>
                <w:sz w:val="22"/>
                <w:szCs w:val="22"/>
              </w:rPr>
              <w:t>；评价为C和D等次的领导班子，不少于评价对象的</w:t>
            </w:r>
            <w:r>
              <w:rPr>
                <w:rFonts w:hint="eastAsia" w:ascii="楷体_GB2312" w:hAnsi="宋体" w:eastAsia="楷体_GB2312" w:cs="楷体_GB2312"/>
                <w:color w:val="000000"/>
                <w:spacing w:val="-6"/>
                <w:sz w:val="22"/>
                <w:szCs w:val="22"/>
                <w:lang w:val="en-US" w:eastAsia="zh-CN"/>
              </w:rPr>
              <w:t>20%</w:t>
            </w:r>
            <w:r>
              <w:rPr>
                <w:rFonts w:hint="eastAsia" w:ascii="楷体_GB2312" w:hAnsi="宋体" w:eastAsia="楷体_GB2312" w:cs="楷体_GB2312"/>
                <w:color w:val="000000"/>
                <w:spacing w:val="-6"/>
                <w:sz w:val="22"/>
                <w:szCs w:val="22"/>
              </w:rPr>
              <w:t>。不按规定数量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t>评价的</w:t>
            </w:r>
          </w:p>
          <w:p>
            <w:pPr>
              <w:widowControl/>
              <w:spacing w:line="280" w:lineRule="exact"/>
              <w:jc w:val="left"/>
              <w:textAlignment w:val="center"/>
              <w:rPr>
                <w:rFonts w:ascii="楷体_GB2312" w:hAnsi="宋体" w:eastAsia="楷体_GB2312" w:cs="楷体_GB2312"/>
                <w:color w:val="000000"/>
                <w:sz w:val="26"/>
                <w:szCs w:val="26"/>
              </w:rPr>
            </w:pP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t>视为无效票；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color w:val="000000"/>
                <w:spacing w:val="-6"/>
                <w:sz w:val="22"/>
                <w:szCs w:val="22"/>
              </w:rPr>
              <w:t>5.评价得分按“总体评价”栏的得票情况计算，公式为：（“A”票数×1.0＋“B”票数×</w:t>
            </w:r>
            <w:r>
              <w:rPr>
                <w:rFonts w:hint="eastAsia" w:ascii="楷体_GB2312" w:hAnsi="宋体" w:eastAsia="楷体_GB2312" w:cs="楷体_GB2312"/>
                <w:color w:val="000000"/>
                <w:spacing w:val="-6"/>
                <w:sz w:val="22"/>
                <w:szCs w:val="22"/>
                <w:lang w:val="en-US" w:eastAsia="zh-CN"/>
              </w:rPr>
              <w:t>0.9</w:t>
            </w:r>
            <w:r>
              <w:rPr>
                <w:rFonts w:hint="eastAsia" w:ascii="楷体_GB2312" w:hAnsi="宋体" w:eastAsia="楷体_GB2312" w:cs="楷体_GB2312"/>
                <w:color w:val="000000"/>
                <w:spacing w:val="-6"/>
                <w:sz w:val="22"/>
                <w:szCs w:val="22"/>
              </w:rPr>
              <w:t>＋“C”票数×</w:t>
            </w:r>
            <w:r>
              <w:rPr>
                <w:rFonts w:hint="eastAsia" w:ascii="楷体_GB2312" w:hAnsi="宋体" w:eastAsia="楷体_GB2312" w:cs="楷体_GB2312"/>
                <w:color w:val="000000"/>
                <w:spacing w:val="-6"/>
                <w:sz w:val="22"/>
                <w:szCs w:val="22"/>
                <w:lang w:val="en-US" w:eastAsia="zh-CN"/>
              </w:rPr>
              <w:t>0.75</w:t>
            </w:r>
            <w:r>
              <w:rPr>
                <w:rFonts w:hint="eastAsia" w:ascii="楷体_GB2312" w:hAnsi="宋体" w:eastAsia="楷体_GB2312" w:cs="楷体_GB2312"/>
                <w:color w:val="000000"/>
                <w:spacing w:val="-6"/>
                <w:sz w:val="22"/>
                <w:szCs w:val="22"/>
              </w:rPr>
              <w:t>＋“D”票数×</w:t>
            </w:r>
            <w:r>
              <w:rPr>
                <w:rFonts w:hint="eastAsia" w:ascii="楷体_GB2312" w:hAnsi="宋体" w:eastAsia="楷体_GB2312" w:cs="楷体_GB2312"/>
                <w:color w:val="000000"/>
                <w:spacing w:val="-6"/>
                <w:sz w:val="22"/>
                <w:szCs w:val="22"/>
                <w:lang w:val="en-US" w:eastAsia="zh-CN"/>
              </w:rPr>
              <w:t>0.5</w:t>
            </w:r>
            <w:r>
              <w:rPr>
                <w:rFonts w:hint="eastAsia" w:ascii="楷体_GB2312" w:hAnsi="宋体" w:eastAsia="楷体_GB2312" w:cs="楷体_GB2312"/>
                <w:color w:val="000000"/>
                <w:spacing w:val="-6"/>
                <w:sz w:val="22"/>
                <w:szCs w:val="22"/>
              </w:rPr>
              <w:t>）÷测评人数×100。</w:t>
            </w:r>
          </w:p>
        </w:tc>
      </w:tr>
    </w:tbl>
    <w:p>
      <w:pPr>
        <w:widowControl w:val="0"/>
        <w:wordWrap/>
        <w:adjustRightInd/>
        <w:snapToGrid/>
        <w:spacing w:before="0" w:after="0" w:line="40" w:lineRule="exact"/>
        <w:ind w:left="0" w:leftChars="0" w:right="0" w:firstLine="0" w:firstLineChars="0"/>
        <w:jc w:val="both"/>
        <w:textAlignment w:val="bottom"/>
        <w:outlineLvl w:val="9"/>
      </w:pPr>
    </w:p>
    <w:sectPr>
      <w:pgSz w:w="16781" w:h="11849" w:orient="landscape"/>
      <w:pgMar w:top="1417" w:right="1417" w:bottom="1417" w:left="1417" w:header="720" w:footer="720" w:gutter="0"/>
      <w:cols w:space="720" w:num="1"/>
      <w:docGrid w:linePitch="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bordersDoNotSurroundHeader w:val="1"/>
  <w:bordersDoNotSurroundFooter w:val="1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12B46C8"/>
    <w:rsid w:val="29353417"/>
    <w:rsid w:val="2C553740"/>
    <w:rsid w:val="2FC64953"/>
    <w:rsid w:val="440868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0" w:semiHidden="0" w:name="Normal Table"/>
    <w:lsdException w:uiPriority="99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pacing w:line="365" w:lineRule="atLeast"/>
      <w:ind w:left="1"/>
      <w:jc w:val="both"/>
      <w:textAlignment w:val="bottom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4">
    <w:name w:val="Default Paragraph Font"/>
    <w:unhideWhenUsed/>
    <w:uiPriority w:val="0"/>
  </w:style>
  <w:style w:type="table" w:default="1" w:styleId="3">
    <w:name w:val="Normal Table"/>
    <w:unhideWhenUsed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2020-10-26T16:03:00Z</dcterms:created>
  <dc:creator>lenovo</dc:creator>
  <cp:lastModifiedBy>Administrator</cp:lastModifiedBy>
  <dcterms:modified xsi:type="dcterms:W3CDTF">2021-01-15T15:59:55Z</dcterms:modified>
  <dc:title>金昌市市管领导班子和领导干部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