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5-1</w:t>
      </w:r>
      <w:bookmarkStart w:id="0" w:name="_GoBack"/>
      <w:bookmarkEnd w:id="0"/>
    </w:p>
    <w:p>
      <w:pPr>
        <w:spacing w:line="560" w:lineRule="exact"/>
        <w:ind w:left="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u w:val="single"/>
          <w:lang w:val="en-US" w:eastAsia="zh-CN"/>
        </w:rPr>
        <w:t xml:space="preserve">          </w:t>
      </w:r>
      <w:r>
        <w:rPr>
          <w:rFonts w:hint="eastAsia" w:ascii="方正小标宋简体" w:hAnsi="方正小标宋简体" w:eastAsia="方正小标宋简体" w:cs="方正小标宋简体"/>
          <w:color w:val="000000"/>
          <w:sz w:val="44"/>
          <w:szCs w:val="44"/>
        </w:rPr>
        <w:t>县（区）领导班子民主测评表</w:t>
      </w:r>
    </w:p>
    <w:tbl>
      <w:tblPr>
        <w:tblStyle w:val="3"/>
        <w:tblW w:w="141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6"/>
        <w:gridCol w:w="531"/>
        <w:gridCol w:w="531"/>
        <w:gridCol w:w="531"/>
        <w:gridCol w:w="531"/>
        <w:gridCol w:w="531"/>
        <w:gridCol w:w="531"/>
        <w:gridCol w:w="531"/>
        <w:gridCol w:w="530"/>
        <w:gridCol w:w="530"/>
        <w:gridCol w:w="530"/>
        <w:gridCol w:w="530"/>
        <w:gridCol w:w="530"/>
        <w:gridCol w:w="530"/>
        <w:gridCol w:w="530"/>
        <w:gridCol w:w="530"/>
        <w:gridCol w:w="530"/>
        <w:gridCol w:w="530"/>
        <w:gridCol w:w="530"/>
        <w:gridCol w:w="530"/>
        <w:gridCol w:w="530"/>
        <w:gridCol w:w="530"/>
        <w:gridCol w:w="530"/>
        <w:gridCol w:w="530"/>
        <w:gridCol w:w="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1446" w:type="dxa"/>
            <w:vMerge w:val="restart"/>
            <w:tcMar>
              <w:top w:w="15" w:type="dxa"/>
              <w:left w:w="15" w:type="dxa"/>
              <w:right w:w="15" w:type="dxa"/>
            </w:tcMar>
            <w:vAlign w:val="top"/>
          </w:tcPr>
          <w:p>
            <w:pPr>
              <w:widowControl/>
              <w:spacing w:before="2000" w:line="34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2124" w:type="dxa"/>
            <w:gridSpan w:val="4"/>
            <w:vMerge w:val="restart"/>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123" w:type="dxa"/>
            <w:gridSpan w:val="4"/>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政治思想建设</w:t>
            </w:r>
          </w:p>
        </w:tc>
        <w:tc>
          <w:tcPr>
            <w:tcW w:w="2120" w:type="dxa"/>
            <w:gridSpan w:val="4"/>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领导能力</w:t>
            </w:r>
          </w:p>
        </w:tc>
        <w:tc>
          <w:tcPr>
            <w:tcW w:w="2120" w:type="dxa"/>
            <w:gridSpan w:val="4"/>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经济社会发展实绩</w:t>
            </w:r>
          </w:p>
        </w:tc>
        <w:tc>
          <w:tcPr>
            <w:tcW w:w="2120" w:type="dxa"/>
            <w:gridSpan w:val="4"/>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党风廉政建设</w:t>
            </w:r>
          </w:p>
        </w:tc>
        <w:tc>
          <w:tcPr>
            <w:tcW w:w="2120" w:type="dxa"/>
            <w:gridSpan w:val="4"/>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作风建设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9" w:hRule="atLeast"/>
          <w:jc w:val="center"/>
        </w:trPr>
        <w:tc>
          <w:tcPr>
            <w:tcW w:w="1446" w:type="dxa"/>
            <w:vMerge w:val="continue"/>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2124" w:type="dxa"/>
            <w:gridSpan w:val="4"/>
            <w:vMerge w:val="continue"/>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2123" w:type="dxa"/>
            <w:gridSpan w:val="4"/>
            <w:tcMar>
              <w:top w:w="15" w:type="dxa"/>
              <w:left w:w="15" w:type="dxa"/>
              <w:right w:w="15" w:type="dxa"/>
            </w:tcMar>
            <w:vAlign w:val="top"/>
          </w:tcPr>
          <w:p>
            <w:pPr>
              <w:widowControl/>
              <w:spacing w:line="22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深入贯彻习近平新时代中国特色社会主义思想和党的十九大及十九届二中、三中、四中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带头贯彻党中央决策部署；坚定理想信念，不忘初心、牢记使命，增强“四个意识”、坚定“四个自信”、做到“两个维护”；坚持民主集中制，发现和解决自身问题，营造风清气正政治生态；践行新时代党的组织路线，贯彻新时期好干部标准，树立正确选人用人导向等方面的情况。</w:t>
            </w:r>
          </w:p>
        </w:tc>
        <w:tc>
          <w:tcPr>
            <w:tcW w:w="2120"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领导班子适应新时代要求、落实党中央决策部署、</w:t>
            </w:r>
            <w:r>
              <w:rPr>
                <w:rFonts w:hint="eastAsia" w:ascii="仿宋" w:hAnsi="仿宋" w:eastAsia="仿宋" w:cs="仿宋"/>
                <w:color w:val="000000"/>
                <w:sz w:val="16"/>
                <w:szCs w:val="16"/>
                <w:lang w:val="en-US" w:eastAsia="zh-CN"/>
              </w:rPr>
              <w:t>推动高质量发展</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提高制度执行力和治理能力、</w:t>
            </w:r>
            <w:r>
              <w:rPr>
                <w:rFonts w:hint="eastAsia" w:ascii="仿宋" w:hAnsi="仿宋" w:eastAsia="仿宋" w:cs="仿宋"/>
                <w:color w:val="000000"/>
                <w:sz w:val="16"/>
                <w:szCs w:val="16"/>
              </w:rPr>
              <w:t>完成市委市政府加快发展目标任务的能力，重点了解学习本领、政治领导本领、改革创新本领、科学发展本领、依法执政本领、群众工作本领、狠抓落实本领、驾驭风险本领，突出评价推动县（区）经济社会高质量发展的领导能力。</w:t>
            </w:r>
          </w:p>
        </w:tc>
        <w:tc>
          <w:tcPr>
            <w:tcW w:w="2120"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贯彻落实党中央决策部署、省委省政府工作安排以及市委市政府中心工作，特别是落实市委八届十次</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十一次、十二次</w:t>
            </w:r>
            <w:r>
              <w:rPr>
                <w:rFonts w:hint="eastAsia" w:ascii="仿宋" w:hAnsi="仿宋" w:eastAsia="仿宋" w:cs="仿宋"/>
                <w:color w:val="000000"/>
                <w:sz w:val="16"/>
                <w:szCs w:val="16"/>
              </w:rPr>
              <w:t>全会精神，推动县（区）经济社会高质量发展的实际成效。永昌县重点评价补齐全面建成小康社会短板、推进十大生态产业、招商引资、向上争取、脱贫攻坚、营商环境、生态文明建设、乡村振兴、城镇居民可支配收入和农民人均可支配收入等工作情况。金川区重点评价高质量发展、推进十大生态产业、项目工作、招商引资、向上争取、一般公共财政预算收入、营商环境、文明城市创建和乡村振兴等工作情况。</w:t>
            </w:r>
          </w:p>
        </w:tc>
        <w:tc>
          <w:tcPr>
            <w:tcW w:w="2120"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全面贯彻十九届中央纪委四次全会精神和十三届省纪委四次全会精神，一以贯之、坚定不移履行管党治党政治责任，推进政治监督，加强党风廉政建设，持之以恒正风肃纪，推进反腐败斗争，强化权力运行的制约和监督，以及公正用权、依法用权、廉洁用权等情况。</w:t>
            </w:r>
          </w:p>
        </w:tc>
        <w:tc>
          <w:tcPr>
            <w:tcW w:w="2120"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坚持以人民为中心，贯彻党的群众路线，密切联系群众，为群众排忧解难，全心全意为人民服务的情况；结合实际落实党中央决策部署，增强人民获得感、幸福感、安全感的情况；深入改进作风，落实中央八项规定及其实施细则精神，反对“四风”特别是形式主义、官僚主义的情况；实事求是，真抓实干，察实情、出实招、办实事、求实效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1" w:hRule="atLeast"/>
          <w:jc w:val="center"/>
        </w:trPr>
        <w:tc>
          <w:tcPr>
            <w:tcW w:w="1446" w:type="dxa"/>
            <w:tcMar>
              <w:top w:w="15" w:type="dxa"/>
              <w:left w:w="15" w:type="dxa"/>
              <w:right w:w="15" w:type="dxa"/>
            </w:tcMar>
            <w:vAlign w:val="top"/>
          </w:tcPr>
          <w:p>
            <w:pPr>
              <w:widowControl/>
              <w:spacing w:line="260" w:lineRule="exact"/>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43" o:spid="_x0000_s1026" o:spt="20" style="position:absolute;left:0pt;margin-left:0.8pt;margin-top:0.05pt;height:52.45pt;width:69.75pt;z-index:251658240;mso-width-relative:page;mso-height-relative:page;" fillcolor="#FFFFFF" filled="f" o:preferrelative="t" stroked="t" coordsize="21600,21600">
                  <v:path arrowok="t"/>
                  <v:fill on="f" color2="#FFFFFF" focussize="0,0"/>
                  <v:stroke weight="0.5pt"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班子</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Mar>
              <w:top w:w="15" w:type="dxa"/>
              <w:left w:w="15" w:type="dxa"/>
              <w:right w:w="15" w:type="dxa"/>
            </w:tcMar>
            <w:vAlign w:val="center"/>
          </w:tcPr>
          <w:p>
            <w:pPr>
              <w:widowControl/>
              <w:spacing w:line="26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jc w:val="center"/>
        </w:trPr>
        <w:tc>
          <w:tcPr>
            <w:tcW w:w="1446" w:type="dxa"/>
            <w:tcMar>
              <w:top w:w="15" w:type="dxa"/>
              <w:left w:w="15" w:type="dxa"/>
              <w:right w:w="15" w:type="dxa"/>
            </w:tcMar>
            <w:vAlign w:val="center"/>
          </w:tcPr>
          <w:p>
            <w:pPr>
              <w:widowControl/>
              <w:spacing w:line="260" w:lineRule="exact"/>
              <w:rPr>
                <w:rFonts w:hint="eastAsia" w:ascii="黑体" w:hAnsi="宋体" w:eastAsia="黑体" w:cs="黑体"/>
                <w:color w:val="000000"/>
                <w:sz w:val="28"/>
                <w:szCs w:val="28"/>
              </w:rPr>
            </w:pPr>
          </w:p>
        </w:tc>
        <w:tc>
          <w:tcPr>
            <w:tcW w:w="531" w:type="dxa"/>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531" w:type="dxa"/>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531" w:type="dxa"/>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531" w:type="dxa"/>
            <w:tcMar>
              <w:top w:w="15" w:type="dxa"/>
              <w:left w:w="15" w:type="dxa"/>
              <w:right w:w="15" w:type="dxa"/>
            </w:tcMar>
            <w:vAlign w:val="center"/>
          </w:tcPr>
          <w:p>
            <w:pPr>
              <w:widowControl/>
              <w:spacing w:line="260" w:lineRule="exact"/>
              <w:jc w:val="center"/>
              <w:rPr>
                <w:rFonts w:hint="eastAsia" w:ascii="黑体" w:hAnsi="宋体" w:eastAsia="黑体" w:cs="黑体"/>
                <w:color w:val="000000"/>
                <w:sz w:val="28"/>
                <w:szCs w:val="28"/>
              </w:rPr>
            </w:pPr>
          </w:p>
        </w:tc>
        <w:tc>
          <w:tcPr>
            <w:tcW w:w="531" w:type="dxa"/>
            <w:tcMar>
              <w:top w:w="15" w:type="dxa"/>
              <w:left w:w="15" w:type="dxa"/>
              <w:right w:w="15" w:type="dxa"/>
            </w:tcMar>
            <w:vAlign w:val="center"/>
          </w:tcPr>
          <w:p>
            <w:pPr>
              <w:widowControl/>
              <w:spacing w:line="260" w:lineRule="exact"/>
              <w:jc w:val="center"/>
              <w:rPr>
                <w:rFonts w:hint="eastAsia" w:ascii="楷体" w:hAnsi="楷体" w:eastAsia="楷体" w:cs="楷体"/>
                <w:b/>
                <w:color w:val="000000"/>
                <w:sz w:val="24"/>
                <w:szCs w:val="24"/>
              </w:rPr>
            </w:pPr>
          </w:p>
        </w:tc>
        <w:tc>
          <w:tcPr>
            <w:tcW w:w="531" w:type="dxa"/>
            <w:tcMar>
              <w:top w:w="15" w:type="dxa"/>
              <w:left w:w="15" w:type="dxa"/>
              <w:right w:w="15" w:type="dxa"/>
            </w:tcMar>
            <w:vAlign w:val="center"/>
          </w:tcPr>
          <w:p>
            <w:pPr>
              <w:widowControl/>
              <w:spacing w:line="260" w:lineRule="exact"/>
              <w:jc w:val="center"/>
              <w:rPr>
                <w:rFonts w:hint="eastAsia" w:ascii="楷体" w:hAnsi="楷体" w:eastAsia="楷体" w:cs="楷体"/>
                <w:b/>
                <w:color w:val="000000"/>
                <w:sz w:val="24"/>
                <w:szCs w:val="24"/>
              </w:rPr>
            </w:pPr>
          </w:p>
        </w:tc>
        <w:tc>
          <w:tcPr>
            <w:tcW w:w="531" w:type="dxa"/>
            <w:tcMar>
              <w:top w:w="15" w:type="dxa"/>
              <w:left w:w="15" w:type="dxa"/>
              <w:right w:w="15" w:type="dxa"/>
            </w:tcMar>
            <w:vAlign w:val="center"/>
          </w:tcPr>
          <w:p>
            <w:pPr>
              <w:widowControl/>
              <w:spacing w:line="260" w:lineRule="exact"/>
              <w:jc w:val="center"/>
              <w:rPr>
                <w:rFonts w:hint="eastAsia" w:ascii="楷体" w:hAnsi="楷体" w:eastAsia="楷体" w:cs="楷体"/>
                <w:b/>
                <w:color w:val="000000"/>
                <w:sz w:val="24"/>
                <w:szCs w:val="24"/>
              </w:rPr>
            </w:pPr>
          </w:p>
        </w:tc>
        <w:tc>
          <w:tcPr>
            <w:tcW w:w="530" w:type="dxa"/>
            <w:tcMar>
              <w:top w:w="15" w:type="dxa"/>
              <w:left w:w="15" w:type="dxa"/>
              <w:right w:w="15" w:type="dxa"/>
            </w:tcMar>
            <w:vAlign w:val="center"/>
          </w:tcPr>
          <w:p>
            <w:pPr>
              <w:widowControl/>
              <w:spacing w:line="260" w:lineRule="exact"/>
              <w:jc w:val="left"/>
              <w:rPr>
                <w:rFonts w:hint="eastAsia" w:ascii="仿宋" w:hAnsi="仿宋" w:eastAsia="仿宋" w:cs="仿宋"/>
                <w:color w:val="000000"/>
                <w:sz w:val="18"/>
                <w:szCs w:val="18"/>
                <w:u w:val="single"/>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c>
          <w:tcPr>
            <w:tcW w:w="530" w:type="dxa"/>
            <w:tcMar>
              <w:top w:w="15" w:type="dxa"/>
              <w:left w:w="15" w:type="dxa"/>
              <w:right w:w="15" w:type="dxa"/>
            </w:tcMar>
            <w:vAlign w:val="center"/>
          </w:tcPr>
          <w:p>
            <w:pPr>
              <w:widowControl/>
              <w:spacing w:line="260" w:lineRule="exact"/>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79" w:hRule="atLeast"/>
          <w:jc w:val="center"/>
        </w:trPr>
        <w:tc>
          <w:tcPr>
            <w:tcW w:w="1446" w:type="dxa"/>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left="1" w:leftChars="0" w:right="0" w:rightChars="0" w:firstLine="0" w:firstLineChars="0"/>
              <w:jc w:val="center"/>
              <w:textAlignment w:val="center"/>
              <w:outlineLvl w:val="9"/>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27" w:type="dxa"/>
            <w:gridSpan w:val="24"/>
            <w:tcMar>
              <w:top w:w="15" w:type="dxa"/>
              <w:left w:w="15" w:type="dxa"/>
              <w:right w:w="15" w:type="dxa"/>
            </w:tcMar>
            <w:vAlign w:val="center"/>
          </w:tcPr>
          <w:p>
            <w:pPr>
              <w:widowControl/>
              <w:spacing w:line="280" w:lineRule="exact"/>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pgBorders>
        <w:top w:val="none" w:sz="0" w:space="0"/>
        <w:left w:val="none" w:sz="0" w:space="0"/>
        <w:bottom w:val="none" w:sz="0" w:space="0"/>
        <w:right w:val="none" w:sz="0" w:space="0"/>
      </w:pgBorders>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3569F2"/>
    <w:rsid w:val="048D1174"/>
    <w:rsid w:val="139A578C"/>
    <w:rsid w:val="14A6315B"/>
    <w:rsid w:val="1A133BC4"/>
    <w:rsid w:val="3F6C1F53"/>
    <w:rsid w:val="43453FEA"/>
    <w:rsid w:val="4C3F3E1C"/>
    <w:rsid w:val="4CEB0D83"/>
    <w:rsid w:val="4D2F7E18"/>
    <w:rsid w:val="66A958AE"/>
    <w:rsid w:val="777E4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qFormat/>
    <w:uiPriority w:val="0"/>
  </w:style>
  <w:style w:type="table" w:default="1" w:styleId="3">
    <w:name w:val="Normal Table"/>
    <w:unhideWhenUsed/>
    <w:uiPriority w:val="0"/>
    <w:tblPr>
      <w:tblCellMar>
        <w:top w:w="0" w:type="dxa"/>
        <w:left w:w="108" w:type="dxa"/>
        <w:bottom w:w="0" w:type="dxa"/>
        <w:right w:w="108" w:type="dxa"/>
      </w:tblCellMar>
    </w:tblPr>
  </w:style>
  <w:style w:type="paragraph" w:styleId="2">
    <w:name w:val="footer"/>
    <w:basedOn w:val="1"/>
    <w:unhideWhenUsed/>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cp:lastPrinted>2021-01-15T00:43:00Z</cp:lastPrinted>
  <dcterms:modified xsi:type="dcterms:W3CDTF">2021-01-15T15:36:33Z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