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default" w:ascii="黑体" w:hAnsi="宋体" w:eastAsia="黑体" w:cs="黑体"/>
          <w:color w:val="000000"/>
          <w:sz w:val="32"/>
          <w:szCs w:val="32"/>
          <w:lang w:val="en-US" w:eastAsia="zh-CN"/>
        </w:rPr>
      </w:pPr>
      <w:r>
        <w:rPr>
          <w:rFonts w:hint="eastAsia" w:ascii="黑体" w:hAnsi="宋体" w:eastAsia="黑体" w:cs="黑体"/>
          <w:color w:val="000000"/>
          <w:sz w:val="32"/>
          <w:szCs w:val="32"/>
        </w:rPr>
        <w:t>附件</w:t>
      </w:r>
      <w:r>
        <w:rPr>
          <w:rFonts w:hint="eastAsia" w:ascii="黑体" w:hAnsi="宋体" w:eastAsia="黑体" w:cs="黑体"/>
          <w:color w:val="000000"/>
          <w:sz w:val="32"/>
          <w:szCs w:val="32"/>
          <w:lang w:val="en-US" w:eastAsia="zh-CN"/>
        </w:rPr>
        <w:t>5-7</w:t>
      </w:r>
      <w:bookmarkStart w:id="0" w:name="_GoBack"/>
      <w:bookmarkEnd w:id="0"/>
    </w:p>
    <w:p>
      <w:pPr>
        <w:spacing w:line="600" w:lineRule="exact"/>
        <w:jc w:val="center"/>
        <w:rPr>
          <w:rFonts w:hint="eastAsia" w:ascii="黑体" w:hAnsi="黑体" w:eastAsia="黑体" w:cs="黑体"/>
          <w:bCs/>
          <w:sz w:val="32"/>
          <w:szCs w:val="32"/>
        </w:rPr>
      </w:pPr>
      <w:r>
        <w:rPr>
          <w:rFonts w:hint="eastAsia" w:ascii="方正小标宋简体" w:hAnsi="方正小标宋简体" w:eastAsia="方正小标宋简体" w:cs="方正小标宋简体"/>
          <w:color w:val="000000"/>
          <w:sz w:val="44"/>
          <w:szCs w:val="44"/>
        </w:rPr>
        <w:t>市属国有企业领导班子民主测评表</w:t>
      </w:r>
    </w:p>
    <w:tbl>
      <w:tblPr>
        <w:tblStyle w:val="3"/>
        <w:tblW w:w="141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434"/>
        <w:gridCol w:w="530"/>
        <w:gridCol w:w="530"/>
        <w:gridCol w:w="530"/>
        <w:gridCol w:w="530"/>
        <w:gridCol w:w="530"/>
        <w:gridCol w:w="531"/>
        <w:gridCol w:w="531"/>
        <w:gridCol w:w="531"/>
        <w:gridCol w:w="531"/>
        <w:gridCol w:w="531"/>
        <w:gridCol w:w="531"/>
        <w:gridCol w:w="531"/>
        <w:gridCol w:w="531"/>
        <w:gridCol w:w="531"/>
        <w:gridCol w:w="531"/>
        <w:gridCol w:w="531"/>
        <w:gridCol w:w="531"/>
        <w:gridCol w:w="531"/>
        <w:gridCol w:w="531"/>
        <w:gridCol w:w="531"/>
        <w:gridCol w:w="531"/>
        <w:gridCol w:w="531"/>
        <w:gridCol w:w="531"/>
        <w:gridCol w:w="5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1" w:hRule="atLeast"/>
          <w:jc w:val="center"/>
        </w:trPr>
        <w:tc>
          <w:tcPr>
            <w:tcW w:w="143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00" w:lineRule="exact"/>
              <w:ind w:left="0"/>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评价</w:t>
            </w:r>
            <w:r>
              <w:rPr>
                <w:rFonts w:hint="eastAsia" w:ascii="黑体" w:hAnsi="宋体" w:eastAsia="黑体" w:cs="黑体"/>
                <w:color w:val="000000"/>
                <w:sz w:val="28"/>
                <w:szCs w:val="28"/>
              </w:rPr>
              <w:br w:type="textWrapping"/>
            </w:r>
            <w:r>
              <w:rPr>
                <w:rFonts w:hint="eastAsia" w:ascii="黑体" w:hAnsi="宋体" w:eastAsia="黑体" w:cs="黑体"/>
                <w:color w:val="000000"/>
                <w:sz w:val="28"/>
                <w:szCs w:val="28"/>
              </w:rPr>
              <w:t>要点</w:t>
            </w:r>
          </w:p>
        </w:tc>
        <w:tc>
          <w:tcPr>
            <w:tcW w:w="2120" w:type="dxa"/>
            <w:gridSpan w:val="4"/>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00" w:lineRule="exact"/>
              <w:ind w:left="0"/>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总体评价</w:t>
            </w:r>
          </w:p>
        </w:tc>
        <w:tc>
          <w:tcPr>
            <w:tcW w:w="2123"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政治素质</w:t>
            </w:r>
          </w:p>
        </w:tc>
        <w:tc>
          <w:tcPr>
            <w:tcW w:w="212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经营业绩</w:t>
            </w:r>
          </w:p>
        </w:tc>
        <w:tc>
          <w:tcPr>
            <w:tcW w:w="212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团结协作</w:t>
            </w:r>
          </w:p>
        </w:tc>
        <w:tc>
          <w:tcPr>
            <w:tcW w:w="212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作风形象</w:t>
            </w:r>
          </w:p>
        </w:tc>
        <w:tc>
          <w:tcPr>
            <w:tcW w:w="212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党建工作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96" w:hRule="atLeast"/>
          <w:jc w:val="center"/>
        </w:trPr>
        <w:tc>
          <w:tcPr>
            <w:tcW w:w="143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2120" w:type="dxa"/>
            <w:gridSpan w:val="4"/>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2123"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spacing w:line="220" w:lineRule="exact"/>
              <w:textAlignment w:val="center"/>
              <w:rPr>
                <w:rFonts w:ascii="仿宋" w:hAnsi="仿宋" w:eastAsia="仿宋" w:cs="仿宋"/>
                <w:color w:val="000000"/>
                <w:sz w:val="16"/>
                <w:szCs w:val="16"/>
              </w:rPr>
            </w:pPr>
            <w:r>
              <w:rPr>
                <w:rFonts w:hint="eastAsia" w:ascii="仿宋" w:hAnsi="仿宋" w:eastAsia="仿宋" w:cs="仿宋"/>
                <w:color w:val="000000"/>
                <w:sz w:val="16"/>
                <w:szCs w:val="16"/>
              </w:rPr>
              <w:t>深入贯彻习近平新时代中国特色社会主义思想和党的十九大及十九届二中、三中、四中</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五中</w:t>
            </w:r>
            <w:r>
              <w:rPr>
                <w:rFonts w:hint="eastAsia" w:ascii="仿宋" w:hAnsi="仿宋" w:eastAsia="仿宋" w:cs="仿宋"/>
                <w:color w:val="000000"/>
                <w:sz w:val="16"/>
                <w:szCs w:val="16"/>
              </w:rPr>
              <w:t>全会精神，全面落实习近平总书记对甘肃重要讲话和指示精神，带头贯彻党中央重大决策部署；坚定理想信念，不忘初心、牢记使命，增强“四个意识”、坚定“四个自信”、做到“两个维护”；坚持民主集中制，发现和解决自身问题，营造风清气正政治生态；践行新时代党的组织路线，贯彻新时期好干部标准，树立正确选人用人导向、健全完善精准选人用人制度、落实容错纠错机制等方面的情况。</w:t>
            </w:r>
          </w:p>
        </w:tc>
        <w:tc>
          <w:tcPr>
            <w:tcW w:w="212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spacing w:line="220" w:lineRule="exact"/>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贯彻落实党中央决策部署、省委省政府工作安排以及市委市政府中心工作，特别是落实市委八届十次</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十一次、十二次</w:t>
            </w:r>
            <w:r>
              <w:rPr>
                <w:rFonts w:hint="eastAsia" w:ascii="仿宋" w:hAnsi="仿宋" w:eastAsia="仿宋" w:cs="仿宋"/>
                <w:color w:val="000000"/>
                <w:sz w:val="16"/>
                <w:szCs w:val="16"/>
              </w:rPr>
              <w:t>全会精神，推动企业高质量发展情况，其中：商业一类企业重点评价经济效益、资本回报水平、市场竞争能力等情况。商业二类企业重点评价服务全市经济发展战略、保障全市经济运行、发展前瞻性战略性产业，以及完成重大专项任务等情况。</w:t>
            </w:r>
            <w:r>
              <w:rPr>
                <w:rFonts w:hint="eastAsia" w:ascii="仿宋" w:hAnsi="仿宋" w:eastAsia="仿宋" w:cs="仿宋"/>
                <w:color w:val="000000"/>
                <w:sz w:val="16"/>
                <w:szCs w:val="16"/>
                <w:lang w:val="en-US" w:eastAsia="zh-CN"/>
              </w:rPr>
              <w:t>公益类企业重点评价产品服务质量、成本控制、营运效率和保障能力等情况。</w:t>
            </w:r>
          </w:p>
        </w:tc>
        <w:tc>
          <w:tcPr>
            <w:tcW w:w="212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spacing w:line="220" w:lineRule="exact"/>
              <w:textAlignment w:val="center"/>
              <w:rPr>
                <w:rFonts w:hint="eastAsia" w:ascii="仿宋" w:hAnsi="仿宋" w:eastAsia="仿宋" w:cs="仿宋"/>
                <w:color w:val="000000"/>
                <w:sz w:val="14"/>
                <w:szCs w:val="14"/>
              </w:rPr>
            </w:pPr>
            <w:r>
              <w:rPr>
                <w:rFonts w:hint="eastAsia" w:ascii="仿宋" w:hAnsi="仿宋" w:eastAsia="仿宋" w:cs="仿宋"/>
                <w:color w:val="000000"/>
                <w:sz w:val="16"/>
                <w:szCs w:val="16"/>
              </w:rPr>
              <w:t>执行民主集中制原则，建立健全领导班子工作制度和“三重一大”议事规则，领导班子统筹全局，主要负责人团结班子成员，班子成员密切配合团结共事情况。</w:t>
            </w:r>
          </w:p>
        </w:tc>
        <w:tc>
          <w:tcPr>
            <w:tcW w:w="212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spacing w:line="220" w:lineRule="exact"/>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坚持以人民为中心，贯彻党的群众路线，密切联系群众，为职工群众排忧解难，全心全意为人民服务的情况；改进作风，实事求是、真抓实干，推动工作落实情况。深入改进作风，落实中央八项规定及其实施细则精神，反对“四风”特别是形式主义、官僚主义的情况；实事求是，真抓实干，察实情、</w:t>
            </w:r>
            <w:r>
              <w:rPr>
                <w:rFonts w:hint="eastAsia" w:ascii="仿宋" w:hAnsi="仿宋" w:eastAsia="仿宋" w:cs="仿宋"/>
                <w:color w:val="000000"/>
                <w:spacing w:val="-6"/>
                <w:sz w:val="16"/>
                <w:szCs w:val="16"/>
              </w:rPr>
              <w:t>出实招、办实事、求实效的情况。</w:t>
            </w:r>
          </w:p>
        </w:tc>
        <w:tc>
          <w:tcPr>
            <w:tcW w:w="212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spacing w:line="220" w:lineRule="exact"/>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履行管党治党政治责任，加强党对国有企业的全面领导，充分发挥党委把方向、管大局、保落实的领导作用，推进党支部建设标准化工作，推动国有企业党建30项重点任务落实情况；全面贯彻十九届中央纪委四次全会精神和十三届省纪委四次全会精神，推进政治监督，加强党风廉政建设，持之以恒正风肃纪，推进反腐败斗争，强化权力运行的制约和监督，以及公正用权、依法用权、廉洁用权等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8" w:hRule="atLeast"/>
          <w:jc w:val="center"/>
        </w:trPr>
        <w:tc>
          <w:tcPr>
            <w:tcW w:w="1434" w:type="dxa"/>
            <w:tcBorders>
              <w:top w:val="single" w:color="000000" w:sz="4" w:space="0"/>
              <w:left w:val="single" w:color="000000" w:sz="4" w:space="0"/>
              <w:bottom w:val="single" w:color="000000" w:sz="4" w:space="0"/>
              <w:right w:val="single" w:color="000000" w:sz="4" w:space="0"/>
              <w:tl2br w:val="single" w:color="000000" w:sz="4" w:space="0"/>
            </w:tcBorders>
            <w:tcMar>
              <w:top w:w="15" w:type="dxa"/>
              <w:left w:w="15" w:type="dxa"/>
              <w:right w:w="15" w:type="dxa"/>
            </w:tcMar>
            <w:vAlign w:val="top"/>
          </w:tcPr>
          <w:p>
            <w:pPr>
              <w:widowControl/>
              <w:spacing w:line="280" w:lineRule="exact"/>
              <w:ind w:left="0"/>
              <w:jc w:val="left"/>
              <w:textAlignment w:val="top"/>
              <w:rPr>
                <w:rFonts w:hint="eastAsia" w:ascii="黑体" w:hAnsi="宋体" w:eastAsia="黑体" w:cs="黑体"/>
                <w:color w:val="000000"/>
                <w:sz w:val="22"/>
                <w:szCs w:val="22"/>
              </w:rPr>
            </w:pPr>
            <w:r>
              <w:rPr>
                <w:rFonts w:hint="eastAsia" w:ascii="黑体" w:hAnsi="宋体" w:eastAsia="黑体" w:cs="黑体"/>
                <w:color w:val="000000"/>
                <w:sz w:val="22"/>
                <w:szCs w:val="22"/>
              </w:rPr>
              <w:t xml:space="preserve">        评价</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rPr>
              <w:t xml:space="preserve">        意见</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领导</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班子</w:t>
            </w:r>
          </w:p>
        </w:tc>
        <w:tc>
          <w:tcPr>
            <w:tcW w:w="5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1" w:hRule="atLeast"/>
          <w:jc w:val="center"/>
        </w:trPr>
        <w:tc>
          <w:tcPr>
            <w:tcW w:w="14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黑体" w:hAnsi="宋体" w:eastAsia="黑体" w:cs="黑体"/>
                <w:color w:val="000000"/>
                <w:sz w:val="28"/>
                <w:szCs w:val="28"/>
              </w:rPr>
            </w:pPr>
          </w:p>
        </w:tc>
        <w:tc>
          <w:tcPr>
            <w:tcW w:w="5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5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5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5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rPr>
                <w:rFonts w:hint="eastAsia" w:ascii="黑体" w:hAnsi="宋体" w:eastAsia="黑体" w:cs="黑体"/>
                <w:color w:val="000000"/>
                <w:sz w:val="28"/>
                <w:szCs w:val="28"/>
              </w:rPr>
            </w:pPr>
          </w:p>
        </w:tc>
        <w:tc>
          <w:tcPr>
            <w:tcW w:w="5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rPr>
                <w:rFonts w:hint="eastAsia" w:ascii="楷体" w:hAnsi="楷体" w:eastAsia="楷体" w:cs="楷体"/>
                <w:b/>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rPr>
                <w:rFonts w:hint="eastAsia" w:ascii="楷体" w:hAnsi="楷体" w:eastAsia="楷体" w:cs="楷体"/>
                <w:b/>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center"/>
              <w:rPr>
                <w:rFonts w:hint="eastAsia" w:ascii="楷体" w:hAnsi="楷体" w:eastAsia="楷体" w:cs="楷体"/>
                <w:b/>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jc w:val="left"/>
              <w:rPr>
                <w:rFonts w:hint="eastAsia" w:ascii="仿宋" w:hAnsi="仿宋" w:eastAsia="仿宋" w:cs="仿宋"/>
                <w:color w:val="000000"/>
                <w:sz w:val="18"/>
                <w:szCs w:val="18"/>
                <w:u w:val="single"/>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c>
          <w:tcPr>
            <w:tcW w:w="5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20" w:lineRule="exact"/>
              <w:rPr>
                <w:rFonts w:hint="eastAsia" w:ascii="宋体" w:hAnsi="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80" w:hRule="atLeast"/>
          <w:jc w:val="center"/>
        </w:trPr>
        <w:tc>
          <w:tcPr>
            <w:tcW w:w="14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ind w:left="1" w:leftChars="0" w:right="0" w:rightChars="0" w:firstLine="0" w:firstLineChars="0"/>
              <w:jc w:val="center"/>
              <w:textAlignment w:val="center"/>
              <w:outlineLvl w:val="9"/>
              <w:rPr>
                <w:rFonts w:hint="eastAsia" w:ascii="黑体" w:hAnsi="宋体" w:eastAsia="黑体" w:cs="黑体"/>
                <w:color w:val="000000"/>
                <w:sz w:val="28"/>
                <w:szCs w:val="28"/>
              </w:rPr>
            </w:pPr>
            <w:r>
              <w:rPr>
                <w:rFonts w:hint="eastAsia" w:ascii="黑体" w:hAnsi="宋体" w:eastAsia="黑体" w:cs="黑体"/>
                <w:color w:val="000000"/>
                <w:sz w:val="28"/>
                <w:szCs w:val="28"/>
              </w:rPr>
              <w:t>备注</w:t>
            </w:r>
          </w:p>
        </w:tc>
        <w:tc>
          <w:tcPr>
            <w:tcW w:w="12739" w:type="dxa"/>
            <w:gridSpan w:val="2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320" w:lineRule="exact"/>
              <w:jc w:val="left"/>
              <w:textAlignment w:val="center"/>
              <w:rPr>
                <w:rFonts w:ascii="楷体_GB2312" w:hAnsi="宋体" w:eastAsia="楷体_GB2312" w:cs="楷体_GB2312"/>
                <w:color w:val="000000"/>
                <w:sz w:val="26"/>
                <w:szCs w:val="26"/>
              </w:rPr>
            </w:pPr>
            <w:r>
              <w:rPr>
                <w:rFonts w:hint="eastAsia" w:ascii="楷体_GB2312" w:hAnsi="宋体" w:eastAsia="楷体_GB2312" w:cs="楷体_GB2312"/>
                <w:color w:val="000000"/>
                <w:sz w:val="22"/>
                <w:szCs w:val="22"/>
              </w:rPr>
              <w:t>1.评价意见按优劣程度，依次界定为“A、B、C、D”四个档次；</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2.请在相应档次的方框内划“√”，只能选择一个档次，多划无效，不划视为弃权；</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3.民主测评得分按“总体评价”栏的得票情况计算，</w:t>
            </w:r>
            <w:r>
              <w:rPr>
                <w:rFonts w:hint="eastAsia" w:ascii="楷体_GB2312" w:hAnsi="宋体" w:eastAsia="楷体_GB2312" w:cs="楷体_GB2312"/>
                <w:color w:val="000000"/>
                <w:spacing w:val="-6"/>
                <w:sz w:val="22"/>
                <w:szCs w:val="22"/>
              </w:rPr>
              <w:t>公式为：（“A”票数×1.0＋“B”票数×</w:t>
            </w:r>
            <w:r>
              <w:rPr>
                <w:rFonts w:hint="eastAsia" w:ascii="楷体_GB2312" w:hAnsi="宋体" w:eastAsia="楷体_GB2312" w:cs="楷体_GB2312"/>
                <w:color w:val="000000"/>
                <w:spacing w:val="-6"/>
                <w:sz w:val="22"/>
                <w:szCs w:val="22"/>
                <w:lang w:val="en-US" w:eastAsia="zh-CN"/>
              </w:rPr>
              <w:t>0.9</w:t>
            </w:r>
            <w:r>
              <w:rPr>
                <w:rFonts w:hint="eastAsia" w:ascii="楷体_GB2312" w:hAnsi="宋体" w:eastAsia="楷体_GB2312" w:cs="楷体_GB2312"/>
                <w:color w:val="000000"/>
                <w:spacing w:val="-6"/>
                <w:sz w:val="22"/>
                <w:szCs w:val="22"/>
              </w:rPr>
              <w:t>＋“C”票数×</w:t>
            </w:r>
            <w:r>
              <w:rPr>
                <w:rFonts w:hint="eastAsia" w:ascii="楷体_GB2312" w:hAnsi="宋体" w:eastAsia="楷体_GB2312" w:cs="楷体_GB2312"/>
                <w:color w:val="000000"/>
                <w:spacing w:val="-6"/>
                <w:sz w:val="22"/>
                <w:szCs w:val="22"/>
                <w:lang w:val="en-US" w:eastAsia="zh-CN"/>
              </w:rPr>
              <w:t>0.75</w:t>
            </w:r>
            <w:r>
              <w:rPr>
                <w:rFonts w:hint="eastAsia" w:ascii="楷体_GB2312" w:hAnsi="宋体" w:eastAsia="楷体_GB2312" w:cs="楷体_GB2312"/>
                <w:color w:val="000000"/>
                <w:spacing w:val="-6"/>
                <w:sz w:val="22"/>
                <w:szCs w:val="22"/>
              </w:rPr>
              <w:t>＋“D”票数×</w:t>
            </w:r>
            <w:r>
              <w:rPr>
                <w:rFonts w:hint="eastAsia" w:ascii="楷体_GB2312" w:hAnsi="宋体" w:eastAsia="楷体_GB2312" w:cs="楷体_GB2312"/>
                <w:color w:val="000000"/>
                <w:spacing w:val="-6"/>
                <w:sz w:val="22"/>
                <w:szCs w:val="22"/>
                <w:lang w:val="en-US" w:eastAsia="zh-CN"/>
              </w:rPr>
              <w:t>0.5</w:t>
            </w:r>
            <w:r>
              <w:rPr>
                <w:rFonts w:hint="eastAsia" w:ascii="楷体_GB2312" w:hAnsi="宋体" w:eastAsia="楷体_GB2312" w:cs="楷体_GB2312"/>
                <w:color w:val="000000"/>
                <w:spacing w:val="-6"/>
                <w:sz w:val="22"/>
                <w:szCs w:val="22"/>
              </w:rPr>
              <w:t>）÷测评人数×100。</w:t>
            </w:r>
          </w:p>
        </w:tc>
      </w:tr>
    </w:tbl>
    <w:p>
      <w:pPr>
        <w:widowControl w:val="0"/>
        <w:wordWrap/>
        <w:adjustRightInd/>
        <w:snapToGrid/>
        <w:spacing w:before="0" w:after="0" w:line="40" w:lineRule="exact"/>
        <w:ind w:left="0" w:leftChars="0" w:right="0" w:firstLine="0" w:firstLineChars="0"/>
        <w:jc w:val="both"/>
        <w:textAlignment w:val="bottom"/>
        <w:outlineLvl w:val="9"/>
      </w:pPr>
    </w:p>
    <w:sectPr>
      <w:pgSz w:w="16781" w:h="11849" w:orient="landscape"/>
      <w:pgMar w:top="1417" w:right="1417" w:bottom="1417" w:left="1417" w:header="720" w:footer="720" w:gutter="0"/>
      <w:cols w:space="72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2FEC7AA4"/>
    <w:rsid w:val="37896712"/>
    <w:rsid w:val="3E434456"/>
    <w:rsid w:val="47A977D2"/>
    <w:rsid w:val="5A826950"/>
    <w:rsid w:val="75C532B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0" w:semiHidden="0" w:name="Normal Table"/>
    <w:lsdException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4">
    <w:name w:val="Default Paragraph Font"/>
    <w:unhideWhenUsed/>
    <w:uiPriority w:val="0"/>
  </w:style>
  <w:style w:type="table" w:default="1" w:styleId="3">
    <w:name w:val="Normal Table"/>
    <w:unhideWhenUsed/>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spacing w:line="240" w:lineRule="atLeast"/>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2020-10-26T16:03:00Z</dcterms:created>
  <dc:creator>Administrator</dc:creator>
  <cp:lastModifiedBy>Administrator</cp:lastModifiedBy>
  <dcterms:modified xsi:type="dcterms:W3CDTF">2021-01-15T15:54:05Z</dcterms:modified>
  <dc:title>金昌市市管领导班子和领导干部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