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default" w:ascii="楷体_GB2312" w:hAnsi="楷体_GB2312" w:eastAsia="楷体_GB2312" w:cs="楷体_GB2312"/>
          <w:b w:val="0"/>
          <w:bCs w:val="0"/>
          <w:sz w:val="34"/>
          <w:szCs w:val="34"/>
          <w:u w:val="none" w:color="auto"/>
          <w:lang w:val="en-US" w:eastAsia="zh-CN"/>
        </w:rPr>
      </w:pPr>
      <w:bookmarkStart w:id="0" w:name="_GoBack"/>
      <w:r>
        <w:rPr>
          <w:rFonts w:hint="eastAsia" w:ascii="黑体" w:hAnsi="黑体" w:eastAsia="黑体" w:cs="黑体"/>
          <w:b w:val="0"/>
          <w:bCs w:val="0"/>
          <w:sz w:val="34"/>
          <w:szCs w:val="34"/>
          <w:u w:val="none" w:color="auto"/>
          <w:lang w:val="en-US" w:eastAsia="zh-CN"/>
        </w:rPr>
        <w:t>附件5-3</w:t>
      </w:r>
    </w:p>
    <w:bookmarkEnd w:id="0"/>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bottom"/>
        <w:rPr>
          <w:rFonts w:hint="eastAsia" w:ascii="方正小标宋简体" w:hAnsi="方正小标宋简体" w:eastAsia="方正小标宋简体" w:cs="方正小标宋简体"/>
          <w:color w:val="000000"/>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bottom"/>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市直部门领导班子民主测评表</w:t>
      </w:r>
    </w:p>
    <w:p>
      <w:pPr>
        <w:spacing w:line="620" w:lineRule="exact"/>
        <w:ind w:left="0"/>
        <w:jc w:val="left"/>
        <w:rPr>
          <w:rFonts w:hint="eastAsia" w:ascii="方正小标宋简体" w:hAnsi="方正小标宋简体" w:eastAsia="方正小标宋简体" w:cs="方正小标宋简体"/>
          <w:color w:val="000000"/>
          <w:sz w:val="44"/>
          <w:szCs w:val="44"/>
        </w:rPr>
      </w:pPr>
      <w:r>
        <w:rPr>
          <w:rFonts w:hint="eastAsia" w:ascii="Times New Roman" w:hAnsi="Times New Roman" w:eastAsia="楷体_GB2312" w:cs="宋体"/>
          <w:caps w:val="0"/>
          <w:kern w:val="0"/>
          <w:sz w:val="28"/>
          <w:szCs w:val="28"/>
        </w:rPr>
        <w:t>单位：</w:t>
      </w:r>
      <w:r>
        <w:rPr>
          <w:rFonts w:hint="eastAsia" w:ascii="Times New Roman" w:hAnsi="Times New Roman" w:eastAsia="楷体_GB2312" w:cs="宋体"/>
          <w:caps w:val="0"/>
          <w:kern w:val="0"/>
          <w:sz w:val="28"/>
          <w:szCs w:val="28"/>
          <w:u w:val="single"/>
        </w:rPr>
        <w:t xml:space="preserve">                </w:t>
      </w:r>
    </w:p>
    <w:tbl>
      <w:tblPr>
        <w:tblStyle w:val="3"/>
        <w:tblW w:w="14173" w:type="dxa"/>
        <w:tblInd w:w="-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71"/>
        <w:gridCol w:w="514"/>
        <w:gridCol w:w="514"/>
        <w:gridCol w:w="514"/>
        <w:gridCol w:w="514"/>
        <w:gridCol w:w="514"/>
        <w:gridCol w:w="515"/>
        <w:gridCol w:w="515"/>
        <w:gridCol w:w="515"/>
        <w:gridCol w:w="515"/>
        <w:gridCol w:w="516"/>
        <w:gridCol w:w="516"/>
        <w:gridCol w:w="516"/>
        <w:gridCol w:w="574"/>
        <w:gridCol w:w="574"/>
        <w:gridCol w:w="574"/>
        <w:gridCol w:w="649"/>
        <w:gridCol w:w="512"/>
        <w:gridCol w:w="445"/>
        <w:gridCol w:w="516"/>
        <w:gridCol w:w="516"/>
        <w:gridCol w:w="516"/>
        <w:gridCol w:w="516"/>
        <w:gridCol w:w="516"/>
        <w:gridCol w:w="5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1571" w:type="dxa"/>
            <w:vMerge w:val="restart"/>
            <w:tcMar>
              <w:top w:w="15" w:type="dxa"/>
              <w:left w:w="15" w:type="dxa"/>
              <w:right w:w="15" w:type="dxa"/>
            </w:tcMar>
            <w:vAlign w:val="center"/>
          </w:tcPr>
          <w:p>
            <w:pPr>
              <w:widowControl/>
              <w:jc w:val="center"/>
              <w:textAlignment w:val="center"/>
              <w:rPr>
                <w:rFonts w:ascii="黑体" w:hAnsi="宋体" w:eastAsia="黑体" w:cs="黑体"/>
                <w:color w:val="000000"/>
                <w:sz w:val="28"/>
                <w:szCs w:val="28"/>
              </w:rPr>
            </w:pPr>
            <w:r>
              <w:rPr>
                <w:rFonts w:hint="eastAsia" w:ascii="黑体" w:hAnsi="宋体" w:eastAsia="黑体" w:cs="黑体"/>
                <w:color w:val="000000"/>
                <w:sz w:val="28"/>
                <w:szCs w:val="28"/>
              </w:rPr>
              <w:t>评价</w:t>
            </w:r>
            <w:r>
              <w:rPr>
                <w:rFonts w:hint="eastAsia" w:ascii="黑体" w:hAnsi="宋体" w:eastAsia="黑体" w:cs="黑体"/>
                <w:color w:val="000000"/>
                <w:sz w:val="28"/>
                <w:szCs w:val="28"/>
              </w:rPr>
              <w:br w:type="textWrapping"/>
            </w:r>
            <w:r>
              <w:rPr>
                <w:rFonts w:hint="eastAsia" w:ascii="黑体" w:hAnsi="宋体" w:eastAsia="黑体" w:cs="黑体"/>
                <w:color w:val="000000"/>
                <w:sz w:val="28"/>
                <w:szCs w:val="28"/>
              </w:rPr>
              <w:t>要点</w:t>
            </w:r>
          </w:p>
        </w:tc>
        <w:tc>
          <w:tcPr>
            <w:tcW w:w="2056" w:type="dxa"/>
            <w:gridSpan w:val="4"/>
            <w:vMerge w:val="restart"/>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总体评价</w:t>
            </w:r>
          </w:p>
        </w:tc>
        <w:tc>
          <w:tcPr>
            <w:tcW w:w="2059"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政治思想建设</w:t>
            </w:r>
          </w:p>
        </w:tc>
        <w:tc>
          <w:tcPr>
            <w:tcW w:w="2063"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领导能力</w:t>
            </w:r>
          </w:p>
        </w:tc>
        <w:tc>
          <w:tcPr>
            <w:tcW w:w="2371"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经济社会发展实绩</w:t>
            </w:r>
          </w:p>
        </w:tc>
        <w:tc>
          <w:tcPr>
            <w:tcW w:w="1989"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党风廉政建设</w:t>
            </w:r>
          </w:p>
        </w:tc>
        <w:tc>
          <w:tcPr>
            <w:tcW w:w="2064"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作风建设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9" w:hRule="atLeast"/>
        </w:trPr>
        <w:tc>
          <w:tcPr>
            <w:tcW w:w="1571" w:type="dxa"/>
            <w:vMerge w:val="continue"/>
            <w:tcMar>
              <w:top w:w="15" w:type="dxa"/>
              <w:left w:w="15" w:type="dxa"/>
              <w:right w:w="15" w:type="dxa"/>
            </w:tcMar>
            <w:vAlign w:val="center"/>
          </w:tcPr>
          <w:p>
            <w:pPr>
              <w:jc w:val="center"/>
              <w:rPr>
                <w:rFonts w:hint="eastAsia" w:ascii="黑体" w:hAnsi="宋体" w:eastAsia="黑体" w:cs="黑体"/>
                <w:color w:val="000000"/>
                <w:sz w:val="28"/>
                <w:szCs w:val="28"/>
              </w:rPr>
            </w:pPr>
          </w:p>
        </w:tc>
        <w:tc>
          <w:tcPr>
            <w:tcW w:w="2056" w:type="dxa"/>
            <w:gridSpan w:val="4"/>
            <w:vMerge w:val="continue"/>
            <w:tcMar>
              <w:top w:w="15" w:type="dxa"/>
              <w:left w:w="15" w:type="dxa"/>
              <w:right w:w="15" w:type="dxa"/>
            </w:tcMar>
            <w:vAlign w:val="center"/>
          </w:tcPr>
          <w:p>
            <w:pPr>
              <w:jc w:val="center"/>
              <w:rPr>
                <w:rFonts w:hint="eastAsia" w:ascii="黑体" w:hAnsi="宋体" w:eastAsia="黑体" w:cs="黑体"/>
                <w:color w:val="000000"/>
                <w:sz w:val="28"/>
                <w:szCs w:val="28"/>
              </w:rPr>
            </w:pPr>
          </w:p>
        </w:tc>
        <w:tc>
          <w:tcPr>
            <w:tcW w:w="2059" w:type="dxa"/>
            <w:gridSpan w:val="4"/>
            <w:tcMar>
              <w:top w:w="15" w:type="dxa"/>
              <w:left w:w="15" w:type="dxa"/>
              <w:right w:w="15" w:type="dxa"/>
            </w:tcMar>
            <w:vAlign w:val="top"/>
          </w:tcPr>
          <w:p>
            <w:pPr>
              <w:widowControl/>
              <w:spacing w:line="220" w:lineRule="exact"/>
              <w:ind w:left="0"/>
              <w:textAlignment w:val="center"/>
              <w:rPr>
                <w:rFonts w:ascii="仿宋" w:hAnsi="仿宋" w:eastAsia="仿宋" w:cs="仿宋"/>
                <w:color w:val="000000"/>
                <w:sz w:val="16"/>
                <w:szCs w:val="16"/>
              </w:rPr>
            </w:pPr>
            <w:r>
              <w:rPr>
                <w:rFonts w:hint="eastAsia" w:ascii="仿宋" w:hAnsi="仿宋" w:eastAsia="仿宋" w:cs="仿宋"/>
                <w:color w:val="000000"/>
                <w:sz w:val="16"/>
                <w:szCs w:val="16"/>
              </w:rPr>
              <w:t>深入贯彻习近平新时代中国特色社会主义思想和党的十九大及十九届二中、三中、四中</w:t>
            </w:r>
            <w:r>
              <w:rPr>
                <w:rFonts w:hint="eastAsia" w:ascii="仿宋" w:hAnsi="仿宋" w:eastAsia="仿宋" w:cs="仿宋"/>
                <w:color w:val="000000"/>
                <w:sz w:val="16"/>
                <w:szCs w:val="16"/>
                <w:lang w:eastAsia="zh-CN"/>
              </w:rPr>
              <w:t>、</w:t>
            </w:r>
            <w:r>
              <w:rPr>
                <w:rFonts w:hint="eastAsia" w:ascii="仿宋" w:hAnsi="仿宋" w:eastAsia="仿宋" w:cs="仿宋"/>
                <w:color w:val="000000"/>
                <w:sz w:val="16"/>
                <w:szCs w:val="16"/>
                <w:lang w:val="en-US" w:eastAsia="zh-CN"/>
              </w:rPr>
              <w:t>五中</w:t>
            </w:r>
            <w:r>
              <w:rPr>
                <w:rFonts w:hint="eastAsia" w:ascii="仿宋" w:hAnsi="仿宋" w:eastAsia="仿宋" w:cs="仿宋"/>
                <w:color w:val="000000"/>
                <w:sz w:val="16"/>
                <w:szCs w:val="16"/>
              </w:rPr>
              <w:t>全会精神，全面落实习近平总书记对甘肃重要讲话和指示精神，带头贯彻党中央重大决策部署；坚定理想信念，不忘初心、牢记使命，增强“四个意识”、坚定“四个自信”、做到“两个维护”；坚持民主集中制，发现和解决自身问题，营造风清气正政治生态；践行新时代党的组织路线，贯彻新时期好干部标准，树立正</w:t>
            </w:r>
            <w:r>
              <w:rPr>
                <w:rFonts w:hint="eastAsia" w:ascii="仿宋" w:hAnsi="仿宋" w:eastAsia="仿宋" w:cs="仿宋"/>
                <w:color w:val="000000"/>
                <w:spacing w:val="-6"/>
                <w:sz w:val="16"/>
                <w:szCs w:val="16"/>
              </w:rPr>
              <w:t>确选人用人导向等方面的情况。</w:t>
            </w:r>
          </w:p>
        </w:tc>
        <w:tc>
          <w:tcPr>
            <w:tcW w:w="2063" w:type="dxa"/>
            <w:gridSpan w:val="4"/>
            <w:tcMar>
              <w:top w:w="15" w:type="dxa"/>
              <w:left w:w="15" w:type="dxa"/>
              <w:right w:w="15" w:type="dxa"/>
            </w:tcMar>
            <w:vAlign w:val="top"/>
          </w:tcPr>
          <w:p>
            <w:pPr>
              <w:widowControl/>
              <w:spacing w:line="22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领导班子适应新时代要求、落实党中央决策部署、</w:t>
            </w:r>
            <w:r>
              <w:rPr>
                <w:rFonts w:hint="eastAsia" w:ascii="仿宋" w:hAnsi="仿宋" w:eastAsia="仿宋" w:cs="仿宋"/>
                <w:color w:val="000000"/>
                <w:sz w:val="16"/>
                <w:szCs w:val="16"/>
                <w:lang w:val="en-US" w:eastAsia="zh-CN"/>
              </w:rPr>
              <w:t>推动高质量发展</w:t>
            </w:r>
            <w:r>
              <w:rPr>
                <w:rFonts w:hint="eastAsia" w:ascii="仿宋" w:hAnsi="仿宋" w:eastAsia="仿宋" w:cs="仿宋"/>
                <w:color w:val="000000"/>
                <w:sz w:val="16"/>
                <w:szCs w:val="16"/>
                <w:lang w:eastAsia="zh-CN"/>
              </w:rPr>
              <w:t>、</w:t>
            </w:r>
            <w:r>
              <w:rPr>
                <w:rFonts w:hint="eastAsia" w:ascii="仿宋" w:hAnsi="仿宋" w:eastAsia="仿宋" w:cs="仿宋"/>
                <w:color w:val="000000"/>
                <w:sz w:val="16"/>
                <w:szCs w:val="16"/>
                <w:lang w:val="en-US" w:eastAsia="zh-CN"/>
              </w:rPr>
              <w:t>提高制度执行力和治理能力、</w:t>
            </w:r>
            <w:r>
              <w:rPr>
                <w:rFonts w:hint="eastAsia" w:ascii="仿宋" w:hAnsi="仿宋" w:eastAsia="仿宋" w:cs="仿宋"/>
                <w:color w:val="000000"/>
                <w:sz w:val="16"/>
                <w:szCs w:val="16"/>
              </w:rPr>
              <w:t>完成市委市政府加快发展目标任务的能力，重点了解学习本领、政治领导本领、改革创新本领、科学发展本领、依法执政本领、群众工作本领、狠抓落实本领、驾驭风险本领，突出评价推动经济社会高质量发展的领导能力。</w:t>
            </w:r>
          </w:p>
        </w:tc>
        <w:tc>
          <w:tcPr>
            <w:tcW w:w="2371" w:type="dxa"/>
            <w:gridSpan w:val="4"/>
            <w:tcMar>
              <w:top w:w="15" w:type="dxa"/>
              <w:left w:w="15" w:type="dxa"/>
              <w:right w:w="15" w:type="dxa"/>
            </w:tcMar>
            <w:vAlign w:val="top"/>
          </w:tcPr>
          <w:p>
            <w:pPr>
              <w:widowControl/>
              <w:spacing w:line="180" w:lineRule="exact"/>
              <w:ind w:left="0"/>
              <w:textAlignment w:val="center"/>
              <w:rPr>
                <w:rFonts w:hint="eastAsia" w:ascii="仿宋" w:hAnsi="仿宋" w:eastAsia="仿宋" w:cs="仿宋"/>
                <w:color w:val="000000"/>
                <w:sz w:val="14"/>
                <w:szCs w:val="14"/>
              </w:rPr>
            </w:pPr>
            <w:r>
              <w:rPr>
                <w:rFonts w:hint="eastAsia" w:ascii="仿宋" w:hAnsi="仿宋" w:eastAsia="仿宋" w:cs="仿宋"/>
                <w:sz w:val="16"/>
                <w:szCs w:val="16"/>
              </w:rPr>
              <w:t>贯彻落实党中央决策部署、省委省政府工作安排以及市委市政府中心工作，特别是落实市委八届十次</w:t>
            </w:r>
            <w:r>
              <w:rPr>
                <w:rFonts w:hint="eastAsia" w:ascii="仿宋" w:hAnsi="仿宋" w:eastAsia="仿宋" w:cs="仿宋"/>
                <w:sz w:val="16"/>
                <w:szCs w:val="16"/>
                <w:lang w:eastAsia="zh-CN"/>
              </w:rPr>
              <w:t>、</w:t>
            </w:r>
            <w:r>
              <w:rPr>
                <w:rFonts w:hint="eastAsia" w:ascii="仿宋" w:hAnsi="仿宋" w:eastAsia="仿宋" w:cs="仿宋"/>
                <w:sz w:val="16"/>
                <w:szCs w:val="16"/>
                <w:lang w:val="en-US" w:eastAsia="zh-CN"/>
              </w:rPr>
              <w:t>十一次、十二次</w:t>
            </w:r>
            <w:r>
              <w:rPr>
                <w:rFonts w:hint="eastAsia" w:ascii="仿宋" w:hAnsi="仿宋" w:eastAsia="仿宋" w:cs="仿宋"/>
                <w:sz w:val="16"/>
                <w:szCs w:val="16"/>
              </w:rPr>
              <w:t>全会精神，推动全市经济社会高质量发展的实际成效。综合部门重点评价围绕中心、服务大局，积极履行部门职能、完成年度任务，强化统筹协调，深入调查研究，准确研判形势，积极建言献策，服务全市经济社会发展等方面的成效。经济工作部门重点评价推动经济高质量发展、落实十大生态产业工作责任、打赢打好防范化解重大风险、精准脱贫、污染防治三大攻坚战，完成年度任务，推进经济建设领域各项工作等方面的成效。社会发展部门重点评价解决好民生领域突出问题，提高保障和改善民生水平，加强和创新社会治理，维护社会稳定和完成年度任务等方面的成效。其他部门重点评价围绕全市经济社会发展大局，履行职责职能、完成年度任务的成效</w:t>
            </w:r>
            <w:r>
              <w:rPr>
                <w:rFonts w:hint="eastAsia" w:ascii="仿宋" w:hAnsi="仿宋" w:eastAsia="仿宋" w:cs="仿宋"/>
                <w:color w:val="000000"/>
                <w:sz w:val="14"/>
                <w:szCs w:val="14"/>
              </w:rPr>
              <w:t>。</w:t>
            </w:r>
          </w:p>
        </w:tc>
        <w:tc>
          <w:tcPr>
            <w:tcW w:w="1989" w:type="dxa"/>
            <w:gridSpan w:val="4"/>
            <w:tcMar>
              <w:top w:w="15" w:type="dxa"/>
              <w:left w:w="15" w:type="dxa"/>
              <w:right w:w="15" w:type="dxa"/>
            </w:tcMar>
            <w:vAlign w:val="top"/>
          </w:tcPr>
          <w:p>
            <w:pPr>
              <w:widowControl/>
              <w:spacing w:line="22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全面贯彻十九届中央纪委四次全会精神和十三届省纪委四次全会精神，一以贯之、坚定不移履行管党治党政治责任，推进政治监督，加强党风廉政建设，持之以恒正风肃纪，推进反腐败斗争，强化权力运行的制约和监督，以及公正用权、依法用权、廉洁用权等情况。</w:t>
            </w:r>
          </w:p>
        </w:tc>
        <w:tc>
          <w:tcPr>
            <w:tcW w:w="2064" w:type="dxa"/>
            <w:gridSpan w:val="4"/>
            <w:tcMar>
              <w:top w:w="15" w:type="dxa"/>
              <w:left w:w="15" w:type="dxa"/>
              <w:right w:w="15" w:type="dxa"/>
            </w:tcMar>
            <w:vAlign w:val="top"/>
          </w:tcPr>
          <w:p>
            <w:pPr>
              <w:widowControl/>
              <w:spacing w:line="22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坚持以人民为中心，贯彻党的群众路线，密切联系群众，为群众排忧解难，全心全意为人民服务情况；结合实际落实党中央决策部署，增强人民群众获得感、幸福感、安全感的情况；深入改进作风，落实中央八项规定及其实施细则精神，反对“四风”特别是形式主义、官僚主义的情况；实事求是，真抓实干，察实情、出实招、办实事、求实效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3" w:hRule="atLeast"/>
        </w:trPr>
        <w:tc>
          <w:tcPr>
            <w:tcW w:w="1571" w:type="dxa"/>
            <w:tcMar>
              <w:top w:w="15" w:type="dxa"/>
              <w:left w:w="15" w:type="dxa"/>
              <w:right w:w="15" w:type="dxa"/>
            </w:tcMar>
            <w:vAlign w:val="top"/>
          </w:tcPr>
          <w:p>
            <w:pPr>
              <w:widowControl/>
              <w:spacing w:line="260" w:lineRule="exact"/>
              <w:ind w:left="0"/>
              <w:jc w:val="left"/>
              <w:textAlignment w:val="top"/>
              <w:rPr>
                <w:rFonts w:hint="eastAsia" w:ascii="黑体" w:hAnsi="宋体" w:eastAsia="黑体" w:cs="黑体"/>
                <w:color w:val="000000"/>
                <w:sz w:val="22"/>
                <w:szCs w:val="22"/>
              </w:rPr>
            </w:pPr>
            <w:r>
              <w:rPr>
                <w:rFonts w:ascii="Times New Roman" w:hAnsi="Times New Roman" w:eastAsia="宋体" w:cs="Times New Roman"/>
                <w:sz w:val="22"/>
                <w:lang w:val="en-US" w:eastAsia="zh-CN" w:bidi="ar-SA"/>
              </w:rPr>
              <w:pict>
                <v:line id="直线 46" o:spid="_x0000_s1026" o:spt="20" style="position:absolute;left:0pt;margin-left:-0.45pt;margin-top:-0.2pt;height:54.75pt;width:77.25pt;z-index:251658240;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v:line>
              </w:pict>
            </w:r>
            <w:r>
              <w:rPr>
                <w:rFonts w:hint="eastAsia" w:ascii="黑体" w:hAnsi="宋体" w:eastAsia="黑体" w:cs="黑体"/>
                <w:color w:val="000000"/>
                <w:sz w:val="22"/>
                <w:szCs w:val="22"/>
              </w:rPr>
              <w:t xml:space="preserve">        评价</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rPr>
              <w:t xml:space="preserve">        意见</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lang w:val="en-US" w:eastAsia="zh-CN"/>
              </w:rPr>
              <w:t xml:space="preserve"> </w:t>
            </w:r>
            <w:r>
              <w:rPr>
                <w:rFonts w:hint="eastAsia" w:ascii="黑体" w:hAnsi="宋体" w:eastAsia="黑体" w:cs="黑体"/>
                <w:color w:val="000000"/>
                <w:sz w:val="22"/>
                <w:szCs w:val="22"/>
              </w:rPr>
              <w:t>领导</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lang w:val="en-US" w:eastAsia="zh-CN"/>
              </w:rPr>
              <w:t xml:space="preserve"> </w:t>
            </w:r>
            <w:r>
              <w:rPr>
                <w:rFonts w:hint="eastAsia" w:ascii="黑体" w:hAnsi="宋体" w:eastAsia="黑体" w:cs="黑体"/>
                <w:color w:val="000000"/>
                <w:sz w:val="22"/>
                <w:szCs w:val="22"/>
              </w:rPr>
              <w:t>班子</w:t>
            </w:r>
          </w:p>
        </w:tc>
        <w:tc>
          <w:tcPr>
            <w:tcW w:w="51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1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1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1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1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15"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15"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15"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15"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16"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16"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16"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7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7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7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649"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12"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445"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16"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16"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16"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16"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16"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16"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trPr>
        <w:tc>
          <w:tcPr>
            <w:tcW w:w="1571" w:type="dxa"/>
            <w:tcMar>
              <w:top w:w="15" w:type="dxa"/>
              <w:left w:w="15" w:type="dxa"/>
              <w:right w:w="15" w:type="dxa"/>
            </w:tcMar>
            <w:vAlign w:val="center"/>
          </w:tcPr>
          <w:p>
            <w:pPr>
              <w:rPr>
                <w:rFonts w:hint="eastAsia" w:ascii="黑体" w:hAnsi="宋体" w:eastAsia="黑体" w:cs="黑体"/>
                <w:color w:val="000000"/>
                <w:sz w:val="28"/>
                <w:szCs w:val="28"/>
              </w:rPr>
            </w:pPr>
          </w:p>
        </w:tc>
        <w:tc>
          <w:tcPr>
            <w:tcW w:w="514"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514"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514"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514"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514" w:type="dxa"/>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515" w:type="dxa"/>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515" w:type="dxa"/>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515" w:type="dxa"/>
            <w:tcMar>
              <w:top w:w="15" w:type="dxa"/>
              <w:left w:w="15" w:type="dxa"/>
              <w:right w:w="15" w:type="dxa"/>
            </w:tcMar>
            <w:vAlign w:val="center"/>
          </w:tcPr>
          <w:p>
            <w:pPr>
              <w:jc w:val="left"/>
              <w:rPr>
                <w:rFonts w:hint="eastAsia" w:ascii="仿宋" w:hAnsi="仿宋" w:eastAsia="仿宋" w:cs="仿宋"/>
                <w:color w:val="000000"/>
                <w:sz w:val="18"/>
                <w:szCs w:val="18"/>
                <w:u w:val="single"/>
              </w:rPr>
            </w:pPr>
          </w:p>
        </w:tc>
        <w:tc>
          <w:tcPr>
            <w:tcW w:w="515" w:type="dxa"/>
            <w:tcMar>
              <w:top w:w="15" w:type="dxa"/>
              <w:left w:w="15" w:type="dxa"/>
              <w:right w:w="15" w:type="dxa"/>
            </w:tcMar>
            <w:vAlign w:val="center"/>
          </w:tcPr>
          <w:p>
            <w:pPr>
              <w:rPr>
                <w:rFonts w:hint="eastAsia" w:ascii="宋体" w:hAnsi="宋体" w:cs="宋体"/>
                <w:color w:val="000000"/>
                <w:sz w:val="24"/>
                <w:szCs w:val="24"/>
              </w:rPr>
            </w:pPr>
          </w:p>
        </w:tc>
        <w:tc>
          <w:tcPr>
            <w:tcW w:w="516" w:type="dxa"/>
            <w:tcMar>
              <w:top w:w="15" w:type="dxa"/>
              <w:left w:w="15" w:type="dxa"/>
              <w:right w:w="15" w:type="dxa"/>
            </w:tcMar>
            <w:vAlign w:val="center"/>
          </w:tcPr>
          <w:p>
            <w:pPr>
              <w:rPr>
                <w:rFonts w:hint="eastAsia" w:ascii="宋体" w:hAnsi="宋体" w:cs="宋体"/>
                <w:color w:val="000000"/>
                <w:sz w:val="24"/>
                <w:szCs w:val="24"/>
              </w:rPr>
            </w:pPr>
          </w:p>
        </w:tc>
        <w:tc>
          <w:tcPr>
            <w:tcW w:w="516" w:type="dxa"/>
            <w:tcMar>
              <w:top w:w="15" w:type="dxa"/>
              <w:left w:w="15" w:type="dxa"/>
              <w:right w:w="15" w:type="dxa"/>
            </w:tcMar>
            <w:vAlign w:val="center"/>
          </w:tcPr>
          <w:p>
            <w:pPr>
              <w:rPr>
                <w:rFonts w:hint="eastAsia" w:ascii="宋体" w:hAnsi="宋体" w:cs="宋体"/>
                <w:color w:val="000000"/>
                <w:sz w:val="24"/>
                <w:szCs w:val="24"/>
              </w:rPr>
            </w:pPr>
          </w:p>
        </w:tc>
        <w:tc>
          <w:tcPr>
            <w:tcW w:w="516" w:type="dxa"/>
            <w:tcMar>
              <w:top w:w="15" w:type="dxa"/>
              <w:left w:w="15" w:type="dxa"/>
              <w:right w:w="15" w:type="dxa"/>
            </w:tcMar>
            <w:vAlign w:val="center"/>
          </w:tcPr>
          <w:p>
            <w:pPr>
              <w:rPr>
                <w:rFonts w:hint="eastAsia" w:ascii="宋体" w:hAnsi="宋体" w:cs="宋体"/>
                <w:color w:val="000000"/>
                <w:sz w:val="24"/>
                <w:szCs w:val="24"/>
              </w:rPr>
            </w:pPr>
          </w:p>
        </w:tc>
        <w:tc>
          <w:tcPr>
            <w:tcW w:w="574" w:type="dxa"/>
            <w:tcMar>
              <w:top w:w="15" w:type="dxa"/>
              <w:left w:w="15" w:type="dxa"/>
              <w:right w:w="15" w:type="dxa"/>
            </w:tcMar>
            <w:vAlign w:val="center"/>
          </w:tcPr>
          <w:p>
            <w:pPr>
              <w:rPr>
                <w:rFonts w:hint="eastAsia" w:ascii="宋体" w:hAnsi="宋体" w:cs="宋体"/>
                <w:color w:val="000000"/>
                <w:sz w:val="24"/>
                <w:szCs w:val="24"/>
              </w:rPr>
            </w:pPr>
          </w:p>
        </w:tc>
        <w:tc>
          <w:tcPr>
            <w:tcW w:w="574" w:type="dxa"/>
            <w:tcMar>
              <w:top w:w="15" w:type="dxa"/>
              <w:left w:w="15" w:type="dxa"/>
              <w:right w:w="15" w:type="dxa"/>
            </w:tcMar>
            <w:vAlign w:val="center"/>
          </w:tcPr>
          <w:p>
            <w:pPr>
              <w:rPr>
                <w:rFonts w:hint="eastAsia" w:ascii="宋体" w:hAnsi="宋体" w:cs="宋体"/>
                <w:color w:val="000000"/>
                <w:sz w:val="24"/>
                <w:szCs w:val="24"/>
              </w:rPr>
            </w:pPr>
          </w:p>
        </w:tc>
        <w:tc>
          <w:tcPr>
            <w:tcW w:w="574" w:type="dxa"/>
            <w:tcMar>
              <w:top w:w="15" w:type="dxa"/>
              <w:left w:w="15" w:type="dxa"/>
              <w:right w:w="15" w:type="dxa"/>
            </w:tcMar>
            <w:vAlign w:val="center"/>
          </w:tcPr>
          <w:p>
            <w:pPr>
              <w:rPr>
                <w:rFonts w:hint="eastAsia" w:ascii="宋体" w:hAnsi="宋体" w:cs="宋体"/>
                <w:color w:val="000000"/>
                <w:sz w:val="24"/>
                <w:szCs w:val="24"/>
              </w:rPr>
            </w:pPr>
          </w:p>
        </w:tc>
        <w:tc>
          <w:tcPr>
            <w:tcW w:w="649" w:type="dxa"/>
            <w:tcMar>
              <w:top w:w="15" w:type="dxa"/>
              <w:left w:w="15" w:type="dxa"/>
              <w:right w:w="15" w:type="dxa"/>
            </w:tcMar>
            <w:vAlign w:val="center"/>
          </w:tcPr>
          <w:p>
            <w:pPr>
              <w:rPr>
                <w:rFonts w:hint="eastAsia" w:ascii="宋体" w:hAnsi="宋体" w:cs="宋体"/>
                <w:color w:val="000000"/>
                <w:sz w:val="24"/>
                <w:szCs w:val="24"/>
              </w:rPr>
            </w:pPr>
          </w:p>
        </w:tc>
        <w:tc>
          <w:tcPr>
            <w:tcW w:w="512" w:type="dxa"/>
            <w:tcMar>
              <w:top w:w="15" w:type="dxa"/>
              <w:left w:w="15" w:type="dxa"/>
              <w:right w:w="15" w:type="dxa"/>
            </w:tcMar>
            <w:vAlign w:val="center"/>
          </w:tcPr>
          <w:p>
            <w:pPr>
              <w:rPr>
                <w:rFonts w:hint="eastAsia" w:ascii="宋体" w:hAnsi="宋体" w:cs="宋体"/>
                <w:color w:val="000000"/>
                <w:sz w:val="24"/>
                <w:szCs w:val="24"/>
              </w:rPr>
            </w:pPr>
          </w:p>
        </w:tc>
        <w:tc>
          <w:tcPr>
            <w:tcW w:w="445" w:type="dxa"/>
            <w:tcMar>
              <w:top w:w="15" w:type="dxa"/>
              <w:left w:w="15" w:type="dxa"/>
              <w:right w:w="15" w:type="dxa"/>
            </w:tcMar>
            <w:vAlign w:val="center"/>
          </w:tcPr>
          <w:p>
            <w:pPr>
              <w:rPr>
                <w:rFonts w:hint="eastAsia" w:ascii="宋体" w:hAnsi="宋体" w:cs="宋体"/>
                <w:color w:val="000000"/>
                <w:sz w:val="24"/>
                <w:szCs w:val="24"/>
              </w:rPr>
            </w:pPr>
          </w:p>
        </w:tc>
        <w:tc>
          <w:tcPr>
            <w:tcW w:w="516" w:type="dxa"/>
            <w:tcMar>
              <w:top w:w="15" w:type="dxa"/>
              <w:left w:w="15" w:type="dxa"/>
              <w:right w:w="15" w:type="dxa"/>
            </w:tcMar>
            <w:vAlign w:val="center"/>
          </w:tcPr>
          <w:p>
            <w:pPr>
              <w:rPr>
                <w:rFonts w:hint="eastAsia" w:ascii="宋体" w:hAnsi="宋体" w:cs="宋体"/>
                <w:color w:val="000000"/>
                <w:sz w:val="24"/>
                <w:szCs w:val="24"/>
              </w:rPr>
            </w:pPr>
          </w:p>
        </w:tc>
        <w:tc>
          <w:tcPr>
            <w:tcW w:w="516" w:type="dxa"/>
            <w:tcMar>
              <w:top w:w="15" w:type="dxa"/>
              <w:left w:w="15" w:type="dxa"/>
              <w:right w:w="15" w:type="dxa"/>
            </w:tcMar>
            <w:vAlign w:val="center"/>
          </w:tcPr>
          <w:p>
            <w:pPr>
              <w:rPr>
                <w:rFonts w:hint="eastAsia" w:ascii="宋体" w:hAnsi="宋体" w:cs="宋体"/>
                <w:color w:val="000000"/>
                <w:sz w:val="24"/>
                <w:szCs w:val="24"/>
              </w:rPr>
            </w:pPr>
          </w:p>
        </w:tc>
        <w:tc>
          <w:tcPr>
            <w:tcW w:w="516" w:type="dxa"/>
            <w:tcMar>
              <w:top w:w="15" w:type="dxa"/>
              <w:left w:w="15" w:type="dxa"/>
              <w:right w:w="15" w:type="dxa"/>
            </w:tcMar>
            <w:vAlign w:val="center"/>
          </w:tcPr>
          <w:p>
            <w:pPr>
              <w:rPr>
                <w:rFonts w:hint="eastAsia" w:ascii="宋体" w:hAnsi="宋体" w:cs="宋体"/>
                <w:color w:val="000000"/>
                <w:sz w:val="24"/>
                <w:szCs w:val="24"/>
              </w:rPr>
            </w:pPr>
          </w:p>
        </w:tc>
        <w:tc>
          <w:tcPr>
            <w:tcW w:w="516" w:type="dxa"/>
            <w:tcMar>
              <w:top w:w="15" w:type="dxa"/>
              <w:left w:w="15" w:type="dxa"/>
              <w:right w:w="15" w:type="dxa"/>
            </w:tcMar>
            <w:vAlign w:val="center"/>
          </w:tcPr>
          <w:p>
            <w:pPr>
              <w:rPr>
                <w:rFonts w:hint="eastAsia" w:ascii="宋体" w:hAnsi="宋体" w:cs="宋体"/>
                <w:color w:val="000000"/>
                <w:sz w:val="24"/>
                <w:szCs w:val="24"/>
              </w:rPr>
            </w:pPr>
          </w:p>
        </w:tc>
        <w:tc>
          <w:tcPr>
            <w:tcW w:w="516" w:type="dxa"/>
            <w:tcMar>
              <w:top w:w="15" w:type="dxa"/>
              <w:left w:w="15" w:type="dxa"/>
              <w:right w:w="15" w:type="dxa"/>
            </w:tcMar>
            <w:vAlign w:val="center"/>
          </w:tcPr>
          <w:p>
            <w:pPr>
              <w:rPr>
                <w:rFonts w:hint="eastAsia" w:ascii="宋体" w:hAnsi="宋体" w:cs="宋体"/>
                <w:color w:val="000000"/>
                <w:sz w:val="24"/>
                <w:szCs w:val="24"/>
              </w:rPr>
            </w:pPr>
          </w:p>
        </w:tc>
        <w:tc>
          <w:tcPr>
            <w:tcW w:w="516" w:type="dxa"/>
            <w:tcMar>
              <w:top w:w="15" w:type="dxa"/>
              <w:left w:w="15" w:type="dxa"/>
              <w:right w:w="15" w:type="dxa"/>
            </w:tcMar>
            <w:vAlign w:val="center"/>
          </w:tcPr>
          <w:p>
            <w:pPr>
              <w:rPr>
                <w:rFonts w:hint="eastAsia" w:ascii="宋体" w:hAnsi="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2" w:hRule="atLeast"/>
        </w:trPr>
        <w:tc>
          <w:tcPr>
            <w:tcW w:w="1571"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备注</w:t>
            </w:r>
          </w:p>
        </w:tc>
        <w:tc>
          <w:tcPr>
            <w:tcW w:w="12602" w:type="dxa"/>
            <w:gridSpan w:val="24"/>
            <w:tcMar>
              <w:top w:w="15" w:type="dxa"/>
              <w:left w:w="15" w:type="dxa"/>
              <w:right w:w="15" w:type="dxa"/>
            </w:tcMar>
            <w:vAlign w:val="center"/>
          </w:tcPr>
          <w:p>
            <w:pPr>
              <w:widowControl/>
              <w:spacing w:line="300" w:lineRule="exact"/>
              <w:jc w:val="left"/>
              <w:textAlignment w:val="center"/>
              <w:rPr>
                <w:rFonts w:ascii="楷体_GB2312" w:hAnsi="宋体" w:eastAsia="楷体_GB2312" w:cs="楷体_GB2312"/>
                <w:color w:val="000000"/>
                <w:sz w:val="26"/>
                <w:szCs w:val="26"/>
              </w:rPr>
            </w:pPr>
            <w:r>
              <w:rPr>
                <w:rFonts w:hint="eastAsia" w:ascii="楷体_GB2312" w:hAnsi="宋体" w:eastAsia="楷体_GB2312" w:cs="楷体_GB2312"/>
                <w:color w:val="000000"/>
                <w:sz w:val="22"/>
                <w:szCs w:val="22"/>
              </w:rPr>
              <w:t>1.评价意见按优劣程度，依次界定为“A、B、C、D”四个档次；</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2.请在相应档次的方框内划“√”，只能选择一个档次，多划无效，不划视为弃权；</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3.民主测评得分按“总体评价”栏的得票情况计算，</w:t>
            </w:r>
            <w:r>
              <w:rPr>
                <w:rFonts w:hint="eastAsia" w:ascii="楷体_GB2312" w:hAnsi="宋体" w:eastAsia="楷体_GB2312" w:cs="楷体_GB2312"/>
                <w:color w:val="000000"/>
                <w:spacing w:val="-6"/>
                <w:sz w:val="22"/>
                <w:szCs w:val="22"/>
              </w:rPr>
              <w:t>公式为：（“A”票数×1.0＋“B”票数×</w:t>
            </w:r>
            <w:r>
              <w:rPr>
                <w:rFonts w:hint="eastAsia" w:ascii="楷体_GB2312" w:hAnsi="宋体" w:eastAsia="楷体_GB2312" w:cs="楷体_GB2312"/>
                <w:color w:val="000000"/>
                <w:spacing w:val="-6"/>
                <w:sz w:val="22"/>
                <w:szCs w:val="22"/>
                <w:lang w:val="en-US" w:eastAsia="zh-CN"/>
              </w:rPr>
              <w:t>0.9</w:t>
            </w:r>
            <w:r>
              <w:rPr>
                <w:rFonts w:hint="eastAsia" w:ascii="楷体_GB2312" w:hAnsi="宋体" w:eastAsia="楷体_GB2312" w:cs="楷体_GB2312"/>
                <w:color w:val="000000"/>
                <w:spacing w:val="-6"/>
                <w:sz w:val="22"/>
                <w:szCs w:val="22"/>
              </w:rPr>
              <w:t>＋“C”票数×</w:t>
            </w:r>
            <w:r>
              <w:rPr>
                <w:rFonts w:hint="eastAsia" w:ascii="楷体_GB2312" w:hAnsi="宋体" w:eastAsia="楷体_GB2312" w:cs="楷体_GB2312"/>
                <w:color w:val="000000"/>
                <w:spacing w:val="-6"/>
                <w:sz w:val="22"/>
                <w:szCs w:val="22"/>
                <w:lang w:val="en-US" w:eastAsia="zh-CN"/>
              </w:rPr>
              <w:t>0.75</w:t>
            </w:r>
            <w:r>
              <w:rPr>
                <w:rFonts w:hint="eastAsia" w:ascii="楷体_GB2312" w:hAnsi="宋体" w:eastAsia="楷体_GB2312" w:cs="楷体_GB2312"/>
                <w:color w:val="000000"/>
                <w:spacing w:val="-6"/>
                <w:sz w:val="22"/>
                <w:szCs w:val="22"/>
              </w:rPr>
              <w:t>＋“D”票数×</w:t>
            </w:r>
            <w:r>
              <w:rPr>
                <w:rFonts w:hint="eastAsia" w:ascii="楷体_GB2312" w:hAnsi="宋体" w:eastAsia="楷体_GB2312" w:cs="楷体_GB2312"/>
                <w:color w:val="000000"/>
                <w:spacing w:val="-6"/>
                <w:sz w:val="22"/>
                <w:szCs w:val="22"/>
                <w:lang w:val="en-US" w:eastAsia="zh-CN"/>
              </w:rPr>
              <w:t>0.5</w:t>
            </w:r>
            <w:r>
              <w:rPr>
                <w:rFonts w:hint="eastAsia" w:ascii="楷体_GB2312" w:hAnsi="宋体" w:eastAsia="楷体_GB2312" w:cs="楷体_GB2312"/>
                <w:color w:val="000000"/>
                <w:spacing w:val="-6"/>
                <w:sz w:val="22"/>
                <w:szCs w:val="22"/>
              </w:rPr>
              <w:t>）÷测评人数×100。</w:t>
            </w:r>
          </w:p>
        </w:tc>
      </w:tr>
    </w:tbl>
    <w:p>
      <w:pPr>
        <w:widowControl w:val="0"/>
        <w:wordWrap/>
        <w:adjustRightInd/>
        <w:snapToGrid/>
        <w:spacing w:before="0" w:after="0" w:line="40" w:lineRule="exact"/>
        <w:ind w:left="0" w:leftChars="0" w:right="0" w:firstLine="0" w:firstLineChars="0"/>
        <w:jc w:val="both"/>
        <w:textAlignment w:val="bottom"/>
        <w:outlineLvl w:val="9"/>
      </w:pPr>
    </w:p>
    <w:sectPr>
      <w:pgSz w:w="16781" w:h="11849" w:orient="landscape"/>
      <w:pgMar w:top="794" w:right="1417" w:bottom="850" w:left="1417" w:header="720" w:footer="720" w:gutter="0"/>
      <w:cols w:space="720" w:num="1"/>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1"/>
  <w:bordersDoNotSurroundFooter w:val="1"/>
  <w:documentProtection w:enforcement="0"/>
  <w:defaultTabStop w:val="5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27464698"/>
    <w:rsid w:val="2E8928DB"/>
    <w:rsid w:val="2EF372F4"/>
    <w:rsid w:val="47EE7EFE"/>
    <w:rsid w:val="558C70EA"/>
    <w:rsid w:val="61C642EE"/>
    <w:rsid w:val="65DC442C"/>
    <w:rsid w:val="7C64332A"/>
    <w:rsid w:val="7E090B5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0" w:semiHidden="0" w:name="Normal Table"/>
    <w:lsdException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5" w:lineRule="atLeast"/>
      <w:ind w:left="1"/>
      <w:jc w:val="both"/>
      <w:textAlignment w:val="bottom"/>
    </w:pPr>
    <w:rPr>
      <w:rFonts w:ascii="Times New Roman" w:hAnsi="Times New Roman" w:eastAsia="宋体" w:cs="Times New Roman"/>
      <w:lang w:val="en-US" w:eastAsia="zh-CN" w:bidi="ar-SA"/>
    </w:rPr>
  </w:style>
  <w:style w:type="character" w:default="1" w:styleId="4">
    <w:name w:val="Default Paragraph Font"/>
    <w:unhideWhenUsed/>
    <w:qFormat/>
    <w:uiPriority w:val="0"/>
  </w:style>
  <w:style w:type="table" w:default="1" w:styleId="3">
    <w:name w:val="Normal Table"/>
    <w:unhideWhenUsed/>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spacing w:line="240" w:lineRule="atLeast"/>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21</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2020-10-26T16:03:00Z</dcterms:created>
  <dc:creator>Administrator</dc:creator>
  <cp:lastModifiedBy>Administrator</cp:lastModifiedBy>
  <cp:lastPrinted>2021-01-15T17:40:40Z</cp:lastPrinted>
  <dcterms:modified xsi:type="dcterms:W3CDTF">2021-01-15T18:09:54Z</dcterms:modified>
  <dc:title>金昌市市管领导班子和领导干部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