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rPr>
          <w:rFonts w:hint="default" w:ascii="黑体" w:hAnsi="黑体" w:eastAsia="黑体" w:cs="黑体"/>
          <w:snapToGrid w:val="0"/>
          <w:sz w:val="32"/>
          <w:lang w:val="en-US" w:eastAsia="zh-CN"/>
        </w:rPr>
      </w:pPr>
      <w:r>
        <w:rPr>
          <w:rFonts w:hint="eastAsia" w:ascii="黑体" w:hAnsi="黑体" w:eastAsia="黑体" w:cs="黑体"/>
          <w:snapToGrid w:val="0"/>
          <w:sz w:val="32"/>
        </w:rPr>
        <w:t>附件</w:t>
      </w:r>
      <w:r>
        <w:rPr>
          <w:rFonts w:hint="eastAsia" w:ascii="黑体" w:hAnsi="黑体" w:eastAsia="黑体" w:cs="黑体"/>
          <w:snapToGrid w:val="0"/>
          <w:sz w:val="32"/>
          <w:lang w:val="en-US" w:eastAsia="zh-CN"/>
        </w:rPr>
        <w:t>7-1</w:t>
      </w:r>
      <w:bookmarkStart w:id="0" w:name="_GoBack"/>
      <w:bookmarkEnd w:id="0"/>
    </w:p>
    <w:p>
      <w:pPr>
        <w:spacing w:line="560" w:lineRule="exact"/>
        <w:ind w:left="0"/>
        <w:jc w:val="center"/>
        <w:rPr>
          <w:rFonts w:hint="eastAsia" w:ascii="黑体" w:hAnsi="黑体" w:eastAsia="黑体" w:cs="黑体"/>
          <w:snapToGrid w:val="0"/>
          <w:sz w:val="32"/>
        </w:rPr>
      </w:pPr>
      <w:r>
        <w:rPr>
          <w:rFonts w:hint="eastAsia" w:ascii="方正小标宋简体" w:hAnsi="方正小标宋简体" w:eastAsia="方正小标宋简体" w:cs="方正小标宋简体"/>
          <w:color w:val="000000"/>
          <w:sz w:val="44"/>
          <w:szCs w:val="44"/>
          <w:u w:val="single"/>
          <w:lang w:val="en-US" w:eastAsia="zh-CN"/>
        </w:rPr>
        <w:t xml:space="preserve">         </w:t>
      </w:r>
      <w:r>
        <w:rPr>
          <w:rFonts w:hint="eastAsia" w:ascii="方正小标宋简体" w:hAnsi="方正小标宋简体" w:eastAsia="方正小标宋简体" w:cs="方正小标宋简体"/>
          <w:color w:val="000000"/>
          <w:sz w:val="44"/>
          <w:szCs w:val="44"/>
        </w:rPr>
        <w:t>县（区）领导班子年度考核上级评价表</w:t>
      </w:r>
    </w:p>
    <w:tbl>
      <w:tblPr>
        <w:tblStyle w:val="3"/>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36"/>
        <w:gridCol w:w="701"/>
        <w:gridCol w:w="701"/>
        <w:gridCol w:w="701"/>
        <w:gridCol w:w="701"/>
        <w:gridCol w:w="620"/>
        <w:gridCol w:w="620"/>
        <w:gridCol w:w="620"/>
        <w:gridCol w:w="621"/>
        <w:gridCol w:w="621"/>
        <w:gridCol w:w="621"/>
        <w:gridCol w:w="621"/>
        <w:gridCol w:w="621"/>
        <w:gridCol w:w="621"/>
        <w:gridCol w:w="621"/>
        <w:gridCol w:w="621"/>
        <w:gridCol w:w="621"/>
        <w:gridCol w:w="621"/>
        <w:gridCol w:w="621"/>
        <w:gridCol w:w="621"/>
        <w:gridCol w:w="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436" w:type="dxa"/>
            <w:vMerge w:val="restart"/>
            <w:tcMar>
              <w:top w:w="15" w:type="dxa"/>
              <w:left w:w="15" w:type="dxa"/>
              <w:right w:w="15" w:type="dxa"/>
            </w:tcMar>
            <w:vAlign w:val="center"/>
          </w:tcPr>
          <w:p>
            <w:pPr>
              <w:widowControl/>
              <w:jc w:val="center"/>
              <w:textAlignment w:val="center"/>
              <w:rPr>
                <w:rFonts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标准</w:t>
            </w:r>
          </w:p>
        </w:tc>
        <w:tc>
          <w:tcPr>
            <w:tcW w:w="2804" w:type="dxa"/>
            <w:gridSpan w:val="4"/>
            <w:vMerge w:val="restart"/>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481"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政治思想建设</w:t>
            </w:r>
          </w:p>
        </w:tc>
        <w:tc>
          <w:tcPr>
            <w:tcW w:w="2484"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领导水平</w:t>
            </w:r>
          </w:p>
        </w:tc>
        <w:tc>
          <w:tcPr>
            <w:tcW w:w="2484"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工作实绩</w:t>
            </w:r>
          </w:p>
        </w:tc>
        <w:tc>
          <w:tcPr>
            <w:tcW w:w="2484" w:type="dxa"/>
            <w:gridSpan w:val="4"/>
            <w:tcMar>
              <w:top w:w="15" w:type="dxa"/>
              <w:left w:w="15" w:type="dxa"/>
              <w:right w:w="15" w:type="dxa"/>
            </w:tcMar>
            <w:vAlign w:val="center"/>
          </w:tcPr>
          <w:p>
            <w:pPr>
              <w:widowControl/>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反腐倡廉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0" w:hRule="atLeast"/>
          <w:jc w:val="center"/>
        </w:trPr>
        <w:tc>
          <w:tcPr>
            <w:tcW w:w="1436" w:type="dxa"/>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804" w:type="dxa"/>
            <w:gridSpan w:val="4"/>
            <w:vMerge w:val="continue"/>
            <w:tcMar>
              <w:top w:w="15" w:type="dxa"/>
              <w:left w:w="15" w:type="dxa"/>
              <w:right w:w="15" w:type="dxa"/>
            </w:tcMar>
            <w:vAlign w:val="center"/>
          </w:tcPr>
          <w:p>
            <w:pPr>
              <w:jc w:val="center"/>
              <w:rPr>
                <w:rFonts w:hint="eastAsia" w:ascii="黑体" w:hAnsi="宋体" w:eastAsia="黑体" w:cs="黑体"/>
                <w:color w:val="000000"/>
                <w:sz w:val="28"/>
                <w:szCs w:val="28"/>
              </w:rPr>
            </w:pPr>
          </w:p>
        </w:tc>
        <w:tc>
          <w:tcPr>
            <w:tcW w:w="2481" w:type="dxa"/>
            <w:gridSpan w:val="4"/>
            <w:tcMar>
              <w:top w:w="15" w:type="dxa"/>
              <w:left w:w="15" w:type="dxa"/>
              <w:right w:w="15" w:type="dxa"/>
            </w:tcMar>
            <w:vAlign w:val="top"/>
          </w:tcPr>
          <w:p>
            <w:pPr>
              <w:widowControl/>
              <w:spacing w:line="24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坚决拥护并认真贯彻执行党的路线方针政策，具有高度的政治鉴别力和敏锐性，能够始终坚持正确的政治立场；能够深入贯彻习近平新时代中国特色社会主义思想和党的十九大及十九届二中、三中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rPr>
              <w:t>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全会精神，全面落实习近平总书记对甘肃重要讲话和指示精神；“三重一大”事项都经过班子集体讨论，班子成员团结合作，自觉维护并坚决执行集体决议，班子凝聚力和战斗力强。</w:t>
            </w:r>
          </w:p>
        </w:tc>
        <w:tc>
          <w:tcPr>
            <w:tcW w:w="2484" w:type="dxa"/>
            <w:gridSpan w:val="4"/>
            <w:tcMar>
              <w:top w:w="15" w:type="dxa"/>
              <w:left w:w="15" w:type="dxa"/>
              <w:right w:w="15" w:type="dxa"/>
            </w:tcMar>
            <w:vAlign w:val="top"/>
          </w:tcPr>
          <w:p>
            <w:pPr>
              <w:widowControl/>
              <w:spacing w:line="24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严格按照法定的职责权限和程序履行职责，能够熟练运用与工作相关的法律法规和制度办法，法制意识强；主动加强调查研究，民主决策、科学决策、依法决策水平较高；对于突发事件能够冷静应对并迅速作出决策；有强烈的进取精神，能够结合实际提出开创性的工作方法和思路，创新实效突出；严格遵照《干部任用条例》规定的原则、条件、程序和纪律选拔任用干部。</w:t>
            </w:r>
          </w:p>
        </w:tc>
        <w:tc>
          <w:tcPr>
            <w:tcW w:w="2484" w:type="dxa"/>
            <w:gridSpan w:val="4"/>
            <w:tcMar>
              <w:top w:w="15" w:type="dxa"/>
              <w:left w:w="15" w:type="dxa"/>
              <w:right w:w="15" w:type="dxa"/>
            </w:tcMar>
            <w:vAlign w:val="top"/>
          </w:tcPr>
          <w:p>
            <w:pPr>
              <w:widowControl/>
              <w:spacing w:line="24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全面考量领导班子政绩观和工作成效。政绩观，主要看是否恪守立党为公、执政为民理念，是否具有“功成不必在我”精神，以造福人民为最大政绩，真正做到对历史和人民负责。工作成效，主要看经济社会发展实绩，看全面工作，看推动经济建设、政治建设、文化建设、社会建设、生态文明建设，解决发展不平衡不充分问题，满足人民日益增长的美好生活需要的情况和实际成效。</w:t>
            </w:r>
          </w:p>
        </w:tc>
        <w:tc>
          <w:tcPr>
            <w:tcW w:w="2484" w:type="dxa"/>
            <w:gridSpan w:val="4"/>
            <w:tcMar>
              <w:top w:w="15" w:type="dxa"/>
              <w:left w:w="15" w:type="dxa"/>
              <w:right w:w="15" w:type="dxa"/>
            </w:tcMar>
            <w:vAlign w:val="top"/>
          </w:tcPr>
          <w:p>
            <w:pPr>
              <w:widowControl/>
              <w:spacing w:line="24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能够严格落实中央八项规定及其实施细则精神，坚决反对“四风”，办事规范，主动接受干部群众监督；能够严格按照要求对党风廉政建设情况进行监督检查，经常性开展反腐倡廉宣传教育，积极构建惩治和预防腐败体系，干部职工廉政意识强，年内未发生违纪违法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5" w:hRule="atLeast"/>
          <w:jc w:val="center"/>
        </w:trPr>
        <w:tc>
          <w:tcPr>
            <w:tcW w:w="1436" w:type="dxa"/>
            <w:tcMar>
              <w:top w:w="15" w:type="dxa"/>
              <w:left w:w="15" w:type="dxa"/>
              <w:right w:w="15" w:type="dxa"/>
            </w:tcMar>
            <w:vAlign w:val="top"/>
          </w:tcPr>
          <w:p>
            <w:pPr>
              <w:widowControl/>
              <w:spacing w:line="28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44" o:spid="_x0000_s1026" o:spt="20" style="position:absolute;left:0pt;margin-left:-0.7pt;margin-top:-1pt;height:60pt;width:72.85pt;z-index:251658240;mso-width-relative:page;mso-height-relative:page;" fillcolor="#FFFFFF" filled="f" o:preferrelative="t" stroked="t" coordsize="21600,21600">
                  <v:path arrowok="t"/>
                  <v:fill on="f" color2="#FFFFFF" focussize="0,0"/>
                  <v:stroke weight="0.5pt"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班子</w:t>
            </w:r>
          </w:p>
        </w:tc>
        <w:tc>
          <w:tcPr>
            <w:tcW w:w="70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70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70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70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20"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20"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20"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21"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jc w:val="center"/>
        </w:trPr>
        <w:tc>
          <w:tcPr>
            <w:tcW w:w="1436" w:type="dxa"/>
            <w:tcMar>
              <w:top w:w="15" w:type="dxa"/>
              <w:left w:w="15" w:type="dxa"/>
              <w:right w:w="15" w:type="dxa"/>
            </w:tcMar>
            <w:vAlign w:val="center"/>
          </w:tcPr>
          <w:p>
            <w:pP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620"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620"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620"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621" w:type="dxa"/>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atLeast"/>
          <w:jc w:val="center"/>
        </w:trPr>
        <w:tc>
          <w:tcPr>
            <w:tcW w:w="1436" w:type="dxa"/>
            <w:tcMar>
              <w:top w:w="15" w:type="dxa"/>
              <w:left w:w="15" w:type="dxa"/>
              <w:right w:w="15" w:type="dxa"/>
            </w:tcMar>
            <w:vAlign w:val="center"/>
          </w:tcPr>
          <w:p>
            <w:pP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701" w:type="dxa"/>
            <w:tcMar>
              <w:top w:w="15" w:type="dxa"/>
              <w:left w:w="15" w:type="dxa"/>
              <w:right w:w="15" w:type="dxa"/>
            </w:tcMar>
            <w:vAlign w:val="center"/>
          </w:tcPr>
          <w:p>
            <w:pPr>
              <w:jc w:val="center"/>
              <w:rPr>
                <w:rFonts w:hint="eastAsia" w:ascii="黑体" w:hAnsi="宋体" w:eastAsia="黑体" w:cs="黑体"/>
                <w:color w:val="000000"/>
                <w:sz w:val="28"/>
                <w:szCs w:val="28"/>
              </w:rPr>
            </w:pPr>
          </w:p>
        </w:tc>
        <w:tc>
          <w:tcPr>
            <w:tcW w:w="620"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620"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620" w:type="dxa"/>
            <w:tcMar>
              <w:top w:w="15" w:type="dxa"/>
              <w:left w:w="15" w:type="dxa"/>
              <w:right w:w="15" w:type="dxa"/>
            </w:tcMar>
            <w:vAlign w:val="center"/>
          </w:tcPr>
          <w:p>
            <w:pPr>
              <w:jc w:val="center"/>
              <w:rPr>
                <w:rFonts w:hint="eastAsia" w:ascii="楷体" w:hAnsi="楷体" w:eastAsia="楷体" w:cs="楷体"/>
                <w:b/>
                <w:color w:val="000000"/>
                <w:sz w:val="24"/>
                <w:szCs w:val="24"/>
              </w:rPr>
            </w:pPr>
          </w:p>
        </w:tc>
        <w:tc>
          <w:tcPr>
            <w:tcW w:w="621" w:type="dxa"/>
            <w:tcMar>
              <w:top w:w="15" w:type="dxa"/>
              <w:left w:w="15" w:type="dxa"/>
              <w:right w:w="15" w:type="dxa"/>
            </w:tcMar>
            <w:vAlign w:val="center"/>
          </w:tcPr>
          <w:p>
            <w:pPr>
              <w:jc w:val="left"/>
              <w:rPr>
                <w:rFonts w:hint="eastAsia" w:ascii="仿宋" w:hAnsi="仿宋" w:eastAsia="仿宋" w:cs="仿宋"/>
                <w:color w:val="000000"/>
                <w:sz w:val="18"/>
                <w:szCs w:val="18"/>
                <w:u w:val="single"/>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c>
          <w:tcPr>
            <w:tcW w:w="621" w:type="dxa"/>
            <w:tcMar>
              <w:top w:w="15" w:type="dxa"/>
              <w:left w:w="15" w:type="dxa"/>
              <w:right w:w="15" w:type="dxa"/>
            </w:tcMar>
            <w:vAlign w:val="center"/>
          </w:tcPr>
          <w:p>
            <w:pP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61" w:hRule="atLeast"/>
          <w:jc w:val="center"/>
        </w:trPr>
        <w:tc>
          <w:tcPr>
            <w:tcW w:w="1436" w:type="dxa"/>
            <w:tcMar>
              <w:top w:w="15" w:type="dxa"/>
              <w:left w:w="15" w:type="dxa"/>
              <w:right w:w="15" w:type="dxa"/>
            </w:tcMar>
            <w:vAlign w:val="center"/>
          </w:tcPr>
          <w:p>
            <w:pPr>
              <w:widowControl/>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737" w:type="dxa"/>
            <w:gridSpan w:val="20"/>
            <w:tcMar>
              <w:top w:w="15" w:type="dxa"/>
              <w:left w:w="15" w:type="dxa"/>
              <w:right w:w="15" w:type="dxa"/>
            </w:tcMar>
            <w:vAlign w:val="center"/>
          </w:tcPr>
          <w:p>
            <w:pPr>
              <w:widowControl/>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z w:val="22"/>
                <w:szCs w:val="22"/>
              </w:rPr>
              <w:t>1.县（区）领导班子由市委、市人大常委会、市政府、市政协主要领导以及市委常委、市政府副市长进行评价；</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4.评价得分按“总体</w:t>
            </w:r>
            <w:r>
              <w:rPr>
                <w:rFonts w:hint="eastAsia" w:ascii="楷体_GB2312" w:hAnsi="宋体" w:eastAsia="楷体_GB2312" w:cs="楷体_GB2312"/>
                <w:color w:val="000000"/>
                <w:spacing w:val="-6"/>
                <w:sz w:val="22"/>
                <w:szCs w:val="22"/>
              </w:rPr>
              <w:t>评价”栏的得票情况计算，公式为：（“A”票数×1.0＋“B”票数×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AC0101D"/>
    <w:rsid w:val="146B3A84"/>
    <w:rsid w:val="33863260"/>
    <w:rsid w:val="504E1C3C"/>
    <w:rsid w:val="78FC62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uiPriority w:val="0"/>
  </w:style>
  <w:style w:type="table" w:default="1" w:styleId="3">
    <w:name w:val="Normal Table"/>
    <w:unhideWhenUsed/>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lenovo</dc:creator>
  <cp:lastModifiedBy>Administrator</cp:lastModifiedBy>
  <dcterms:modified xsi:type="dcterms:W3CDTF">2021-01-15T15:59:52Z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